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3124D" w14:textId="2A1275F1" w:rsidR="00D02269" w:rsidRPr="007C623E" w:rsidRDefault="00D02269" w:rsidP="007C623E"/>
    <w:p>
      <w:pPr>
        <w:spacing w:after="40" w:before="0"/>
        <w:jc w:val="center"/>
      </w:pPr>
      <w:r>
        <w:rPr>
          <w:b/>
          <w:i w:val="0"/>
          <w:color w:val="C00000"/>
          <w:sz w:val="18"/>
        </w:rPr>
        <w:t>INTERNAL  ·  DRAFT  ·  NEGOTIATING TERMS  ·  CEO / Board Eyes Only</w:t>
      </w:r>
    </w:p>
    <w:p>
      <w:pPr>
        <w:spacing w:after="40" w:before="0"/>
        <w:jc w:val="center"/>
      </w:pPr>
      <w:r>
        <w:rPr>
          <w:b/>
          <w:i w:val="0"/>
          <w:color w:val="1F3A68"/>
          <w:sz w:val="28"/>
        </w:rPr>
        <w:t>EXOS AEROSPACE — SSLC OPTION B: ACQUISITION OFFER SUMMARY</w:t>
      </w:r>
    </w:p>
    <w:p>
      <w:pPr>
        <w:spacing w:after="100" w:before="0"/>
        <w:jc w:val="center"/>
      </w:pPr>
      <w:r>
        <w:rPr>
          <w:b w:val="0"/>
          <w:i/>
          <w:color w:val="606060"/>
          <w:sz w:val="19"/>
        </w:rPr>
        <w:t>October 9, 2026  ·  Exos Aerospace Systems &amp; Technologies, Inc.</w:t>
      </w:r>
    </w:p>
    <w:p>
      <w:pPr>
        <w:keepNext/>
        <w:spacing w:after="60" w:before="120"/>
      </w:pPr>
      <w:r>
        <w:rPr>
          <w:b/>
          <w:i w:val="0"/>
          <w:color w:val="1F3A68"/>
          <w:sz w:val="24"/>
        </w:rPr>
        <w:t>1.  What SSLC Holders Receive</w:t>
      </w:r>
    </w:p>
    <w:p>
      <w:pPr>
        <w:spacing w:after="60" w:before="0"/>
      </w:pPr>
      <w:r>
        <w:rPr>
          <w:b w:val="0"/>
          <w:i/>
          <w:color w:val="2E75B6"/>
          <w:sz w:val="19"/>
        </w:rPr>
        <w:t>Up-front price reflects today's numbers; earn-outs let SSLC holders share directly in tank deliveries, revenue milestones, and the Exos listing.</w:t>
      </w:r>
    </w:p>
    <w:p>
      <w:pPr>
        <w:spacing w:after="40" w:before="0"/>
      </w:pPr>
      <w:r>
        <w:rPr>
          <w:b w:val="0"/>
          <w:i/>
          <w:color w:val="606060"/>
          <w:sz w:val="15"/>
        </w:rPr>
        <w:t>Earn-out rows: negotiating terms — management assumptions. Each milestone is independently verifiable; none pay unless the trigger is met.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1152"/>
        <w:gridCol w:w="1152"/>
        <w:gridCol w:w="1152"/>
        <w:gridCol w:w="2664"/>
      </w:tblGrid>
      <w:tr>
        <w:tc>
          <w:tcPr>
            <w:tcW w:type="dxa" w:w="3240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Base</w:t>
            </w:r>
          </w:p>
        </w:tc>
        <w:tc>
          <w:tcPr>
            <w:tcW w:type="dxa" w:w="1152"/>
            <w:shd w:val="clear" w:color="auto" w:fill="1F3A68"/>
          </w:tcPr>
          <w:p>
            <w:pPr>
              <w:jc w:val="right"/>
            </w:pPr>
            <w:r/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2664"/>
            <w:shd w:val="clear" w:color="auto" w:fill="1F3A68"/>
          </w:tcPr>
          <w:p>
            <w:r/>
            <w:r>
              <w:rPr>
                <w:b/>
                <w:color w:val="FFFFFF"/>
                <w:sz w:val="16"/>
              </w:rPr>
              <w:t>When / Notes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Cash at close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$2,510K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~Q1 FY27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transaction costs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$60K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seller-side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Credit for Exos's existing stake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$790K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 (non-cash credit)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SSLC debts paid at face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Close; ~$500K TBV in QB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Working-capital bridge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Close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equity — 1.0% EAI units</w:t>
            </w:r>
            <w:r>
              <w:br/>
            </w:r>
            <w:r>
              <w:rPr>
                <w:sz w:val="16"/>
              </w:rPr>
              <w:t>(Rule 504, at 409A ~$170M)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$1,697K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EAI units issued as part of Exos's</w:t>
            </w:r>
            <w:r>
              <w:br/>
            </w:r>
            <w:r>
              <w:rPr>
                <w:sz w:val="16"/>
              </w:rPr>
              <w:t>Rule 504 offering, at the 409A value;</w:t>
            </w:r>
            <w:r>
              <w:br/>
            </w:r>
            <w:r>
              <w:rPr>
                <w:sz w:val="16"/>
              </w:rPr>
              <w:t>issued at financing close</w:t>
            </w:r>
          </w:p>
        </w:tc>
      </w:tr>
      <w:tr>
        <w:tc>
          <w:tcPr>
            <w:tcW w:type="dxa" w:w="3240"/>
            <w:shd w:val="clear" w:color="auto" w:fill="F3F4F6"/>
          </w:tcPr>
          <w:p>
            <w:r/>
            <w:r>
              <w:rPr>
                <w:b/>
                <w:sz w:val="16"/>
              </w:rPr>
              <w:t>Subtotal: funding at close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1152"/>
            <w:shd w:val="clear" w:color="auto" w:fill="F3F4F6"/>
          </w:tcPr>
          <w:p>
            <w:pPr>
              <w:jc w:val="right"/>
            </w:pPr>
            <w:r/>
            <w:r>
              <w:rPr>
                <w:b/>
                <w:sz w:val="16"/>
              </w:rPr>
              <w:t>$6,057K</w:t>
            </w:r>
          </w:p>
        </w:tc>
        <w:tc>
          <w:tcPr>
            <w:tcW w:type="dxa" w:w="2664"/>
            <w:shd w:val="clear" w:color="auto" w:fill="F3F4F6"/>
          </w:tcPr>
          <w:p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Tank earn-out (5 yrs, 5%/yr,</w:t>
            </w:r>
            <w:r>
              <w:br/>
            </w:r>
            <w:r>
              <w:rPr>
                <w:sz w:val="16"/>
              </w:rPr>
              <w:t>cap $300K/yr)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$750K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$1,250K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$1,500K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FY27–FY31; low 3%/base 5%/high</w:t>
            </w:r>
            <w:r>
              <w:br/>
            </w:r>
            <w:r>
              <w:rPr>
                <w:sz w:val="16"/>
              </w:rPr>
              <w:t>7% × IM rev; $300K/yr cap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M1: SSLC FY2026-27 rev</w:t>
            </w:r>
            <w:r>
              <w:br/>
            </w:r>
            <w:r>
              <w:rPr>
                <w:sz w:val="16"/>
              </w:rPr>
              <w:t>≥$5.1M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FY28 Q1 if verified</w:t>
            </w:r>
            <w:r>
              <w:br/>
            </w:r>
            <w:r>
              <w:rPr>
                <w:sz w:val="16"/>
              </w:rPr>
              <w:t>(all scenarios: mgmt base case)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M2: Nebula/OTV production</w:t>
            </w:r>
            <w:r>
              <w:br/>
            </w:r>
            <w:r>
              <w:rPr>
                <w:sz w:val="16"/>
              </w:rPr>
              <w:t>contract signed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contract execution</w:t>
            </w:r>
            <w:r>
              <w:br/>
            </w:r>
            <w:r>
              <w:rPr>
                <w:sz w:val="16"/>
              </w:rPr>
              <w:t>(any year FY27–FY30)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M3: SSLC annual rev ≥$10M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FY29 at base/high)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M4: SSLC annual rev ≥$20M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$250K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first year threshold hit</w:t>
            </w:r>
            <w:r>
              <w:br/>
            </w:r>
            <w:r>
              <w:rPr>
                <w:sz w:val="16"/>
              </w:rPr>
              <w:t>(est. FY31 at high)</w:t>
            </w:r>
          </w:p>
        </w:tc>
      </w:tr>
      <w:tr>
        <w:tc>
          <w:tcPr>
            <w:tcW w:type="dxa" w:w="3240"/>
            <w:shd w:val="clear" w:color="auto" w:fill="EFF6FF"/>
          </w:tcPr>
          <w:p>
            <w:r/>
            <w:r>
              <w:rPr>
                <w:sz w:val="16"/>
              </w:rPr>
              <w:t>Milestone M5: BLK3 tank qualification</w:t>
            </w:r>
            <w:r>
              <w:br/>
            </w:r>
            <w:r>
              <w:rPr>
                <w:sz w:val="16"/>
              </w:rPr>
              <w:t>complete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152"/>
            <w:shd w:val="clear" w:color="auto" w:fill="EFF6FF"/>
          </w:tcPr>
          <w:p>
            <w:pPr>
              <w:jc w:val="right"/>
            </w:pPr>
            <w:r/>
            <w:r>
              <w:rPr>
                <w:sz w:val="16"/>
              </w:rPr>
              <w:t>$200K</w:t>
            </w:r>
          </w:p>
        </w:tc>
        <w:tc>
          <w:tcPr>
            <w:tcW w:type="dxa" w:w="2664"/>
            <w:shd w:val="clear" w:color="auto" w:fill="EFF6FF"/>
          </w:tcPr>
          <w:p>
            <w:r/>
            <w:r>
              <w:rPr>
                <w:sz w:val="16"/>
              </w:rPr>
              <w:t>Pays at Exos BLK3 tank cert</w:t>
            </w:r>
            <w:r>
              <w:br/>
            </w:r>
            <w:r>
              <w:rPr>
                <w:sz w:val="16"/>
              </w:rPr>
              <w:t>(est. FY27–FY28)</w:t>
            </w:r>
          </w:p>
        </w:tc>
      </w:tr>
      <w:tr>
        <w:tc>
          <w:tcPr>
            <w:tcW w:type="dxa" w:w="3240"/>
          </w:tcPr>
          <w:p>
            <w:r/>
            <w:r>
              <w:rPr>
                <w:sz w:val="16"/>
              </w:rPr>
              <w:t>Exos stock earn-out, valued at 409A</w:t>
            </w:r>
            <w:r>
              <w:br/>
            </w:r>
            <w:r>
              <w:rPr>
                <w:sz w:val="16"/>
              </w:rPr>
              <w:t>(on top of 1.0% EAI up-front)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$0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$424K</w:t>
            </w:r>
          </w:p>
        </w:tc>
        <w:tc>
          <w:tcPr>
            <w:tcW w:type="dxa" w:w="1152"/>
          </w:tcPr>
          <w:p>
            <w:pPr>
              <w:jc w:val="right"/>
            </w:pPr>
            <w:r/>
            <w:r>
              <w:rPr>
                <w:sz w:val="16"/>
              </w:rPr>
              <w:t>$848K</w:t>
            </w:r>
          </w:p>
        </w:tc>
        <w:tc>
          <w:tcPr>
            <w:tcW w:type="dxa" w:w="2664"/>
          </w:tcPr>
          <w:p>
            <w:r/>
            <w:r>
              <w:rPr>
                <w:sz w:val="16"/>
              </w:rPr>
              <w:t>Post-RTO ~FY28; earn-out 0.0%/0.25%/0.5% FD; lockup same as Exos principals.</w:t>
            </w:r>
            <w:r>
              <w:br/>
            </w:r>
            <w:r>
              <w:rPr>
                <w:sz w:val="16"/>
              </w:rPr>
              <w:t>At listing ($250M/$300M): $0/$625K/$1.5M. Total Exos equity: 1.0%/1.25%/1.5%.</w:t>
            </w:r>
          </w:p>
        </w:tc>
      </w:tr>
      <w:tr>
        <w:tc>
          <w:tcPr>
            <w:tcW w:type="dxa" w:w="3240"/>
            <w:shd w:val="clear" w:color="auto" w:fill="D1FAE5"/>
          </w:tcPr>
          <w:p>
            <w:r/>
            <w:r>
              <w:rPr>
                <w:b/>
                <w:sz w:val="16"/>
              </w:rPr>
              <w:t>TOTAL OFFER VALUE (5-yr)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$7,007K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$8,582K</w:t>
            </w:r>
          </w:p>
        </w:tc>
        <w:tc>
          <w:tcPr>
            <w:tcW w:type="dxa" w:w="1152"/>
            <w:shd w:val="clear" w:color="auto" w:fill="D1FAE5"/>
          </w:tcPr>
          <w:p>
            <w:pPr>
              <w:jc w:val="right"/>
            </w:pPr>
            <w:r/>
            <w:r>
              <w:rPr>
                <w:b/>
                <w:sz w:val="16"/>
              </w:rPr>
              <w:t>$10,157K</w:t>
            </w:r>
          </w:p>
        </w:tc>
        <w:tc>
          <w:tcPr>
            <w:tcW w:type="dxa" w:w="2664"/>
            <w:shd w:val="clear" w:color="auto" w:fill="D1FAE5"/>
          </w:tcPr>
          <w:p>
            <w:r/>
            <w:r>
              <w:rPr>
                <w:b/>
                <w:sz w:val="16"/>
              </w:rPr>
              <w:t>FY27–FY31</w:t>
            </w:r>
          </w:p>
        </w:tc>
      </w:tr>
      <w:tr>
        <w:tc>
          <w:tcPr>
            <w:tcW w:type="dxa" w:w="3240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Memo: Exos stock if held to FY31</w:t>
            </w:r>
            <w:r>
              <w:br/>
            </w:r>
            <w:r>
              <w:rPr>
                <w:i/>
                <w:color w:val="6B7280"/>
                <w:sz w:val="16"/>
              </w:rPr>
              <w:t>(not additive to total above)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$5.7M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$8.5M</w:t>
            </w:r>
          </w:p>
        </w:tc>
        <w:tc>
          <w:tcPr>
            <w:tcW w:type="dxa" w:w="1152"/>
            <w:shd w:val="clear" w:color="auto" w:fill="FEF3C7"/>
          </w:tcPr>
          <w:p>
            <w:pPr>
              <w:jc w:val="right"/>
            </w:pPr>
            <w:r/>
            <w:r>
              <w:rPr>
                <w:i/>
                <w:color w:val="6B7280"/>
                <w:sz w:val="16"/>
              </w:rPr>
              <w:t>$11.4M</w:t>
            </w:r>
          </w:p>
        </w:tc>
        <w:tc>
          <w:tcPr>
            <w:tcW w:type="dxa" w:w="2664"/>
            <w:shd w:val="clear" w:color="auto" w:fill="FEF3C7"/>
          </w:tcPr>
          <w:p>
            <w:r/>
            <w:r>
              <w:rPr>
                <w:i/>
                <w:color w:val="6B7280"/>
                <w:sz w:val="16"/>
              </w:rPr>
              <w:t>16× EV/EBITDA; ~30% dilution;</w:t>
            </w:r>
            <w:r>
              <w:br/>
            </w:r>
            <w:r>
              <w:rPr>
                <w:i/>
                <w:color w:val="6B7280"/>
                <w:sz w:val="16"/>
              </w:rPr>
              <w:t>total stake 1.0/1.25/1.5% (EAI+earn-out);</w:t>
            </w:r>
            <w:r>
              <w:br/>
            </w:r>
            <w:r>
              <w:rPr>
                <w:i/>
                <w:color w:val="6B7280"/>
                <w:sz w:val="16"/>
              </w:rPr>
              <w:t>mgmt assumption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Why this structure: SSLC holders receive real Exos equity at close (1.0% EAI units, 409A-valued ~$1.7M, issued as part of Exos's Rule 504 offering) — not only contingent upside. It aligns them with Exos immediately. The earn-out stock stays 0.0–0.5%, so total equity is 1.0–1.5%.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Chart: SSLC_OptionB_Total_Compensation_5yr_2026-10-07.png  ·  Full model: EXOS_SSLC_OptionB_Acquisition_Model_2026-10-07.xlsx → 'Total Compensation' sheet  ·  IM program continuity: Exos-SSLC continues the Intuitive Machines contract with no delivery interruption.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3.  Key Terms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36"/>
        <w:gridCol w:w="5903"/>
      </w:tblGrid>
      <w:tr>
        <w:tc>
          <w:tcPr>
            <w:tcW w:type="dxa" w:w="273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590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Agreement basis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May 2025 Asset Acquisition Agreement, §3 exclusivity trigger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Total commitment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$5,057,000 base at close ($2.51M cash + $60K costs + $790K Exos stake credit + ~$1.70M EAI equity at 409A, Rule 504)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Exclusivity period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90 days from SSLC confirmation; extension not unreasonably withheld (§3)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Holdback (§7)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5% escrow, released at 12-month anniversary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SSLC debts assumed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Paid at face at close (est. ~$500K; verify QuickBooks)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904"/>
          </w:tcPr>
          <w:p>
            <w:r/>
            <w:r>
              <w:rPr>
                <w:sz w:val="18"/>
              </w:rPr>
              <w:t>DRAFT — NEGOTIATING TERMS — not a final or binding offer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504 cap: ~$1.7M counts toward the Rule 504 $10M rolling 12-month cap; confirm remaining capacity. Rule 504 is U.S.-only; EAI units in the Japan round are Reg S — the two must remain distinct. See model → 'EAI Lockup &amp; Liquidity' sheet for full detail.</w:t>
      </w: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4.  EAI Unit Lockup &amp; Liquidity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Restricted securities — Rule 504 Reg D, restrictive legend; not freely tradeable at issuance. Same lockup as Exos principals. Rule 504 ref: https://www.sec.gov/resources-small-businesses/exempt-offerings/exemption-limited-offerings-not-exceeding-10-million-rule-504-regulation-d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Rule 144 resale.  </w:t>
      </w:r>
      <w:r>
        <w:t>Holding period 6 months (reporting issuer) or 1 year (non-reporting). Exos is currently non-reporting; 6-month path opens only after RTO. 17 CFR 230.144(d): https://www.ecfr.gov/current/title-17/chapter-II/part-230/section-230.144</w:t>
      </w:r>
    </w:p>
    <w:p>
      <w:pPr>
        <w:spacing w:after="40" w:before="0"/>
        <w:ind w:left="288"/>
      </w:pPr>
      <w:r>
        <w:t xml:space="preserve">•  </w:t>
      </w:r>
      <w:r>
        <w:rPr>
          <w:b/>
        </w:rPr>
        <w:t xml:space="preserve">RTO structure — preferred at close.  </w:t>
      </w:r>
      <w:r>
        <w:t>At RTO close, founders/legacy holders receive unregistered non-voting non-convertible preferred (avoids NASDAQ Rule 5635). Converts to common + becomes liquid only after: (i) shareholder vote (proxy ~30 days post-close) and (ii) effective resale registration (S-1/S-3). EAI units follow this same path. [Board Brief 2026-09-04:16; Board Questions 2026-09-08:36,44]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5616"/>
      </w:tblGrid>
      <w:tr>
        <w:tc>
          <w:tcPr>
            <w:tcW w:type="dxa" w:w="3744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5616"/>
            <w:shd w:val="clear" w:color="auto" w:fill="375623"/>
          </w:tcPr>
          <w:p>
            <w:r/>
            <w:r>
              <w:rPr>
                <w:b/>
                <w:color w:val="FFFFFF"/>
                <w:sz w:val="18"/>
              </w:rPr>
              <w:t>Target / Status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Board acceptance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D+0 — units committed; not yet issued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Financing close — units issued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 Q1 FY27; 1-yr Rule 144 clock starts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Targeted RTO close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~6 months post-financing (targeted, not assured)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Conversion vote + resale reg. effective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~30–90 days post-RTO; preferred → common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Rule 144 eligibility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6-mo (after reporting); 1-yr if non-reporting at issuance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ALL DATES</w:t>
            </w:r>
          </w:p>
        </w:tc>
        <w:tc>
          <w:tcPr>
            <w:tcW w:type="dxa" w:w="5616"/>
          </w:tcPr>
          <w:p>
            <w:r/>
            <w:r>
              <w:rPr>
                <w:sz w:val="18"/>
              </w:rPr>
              <w:t>Targeted, not assured. RTO may not close.</w:t>
            </w:r>
          </w:p>
        </w:tc>
      </w:tr>
    </w:tbl>
    <w:p>
      <w:pPr>
        <w:spacing w:after="60" w:before="0"/>
      </w:pPr>
    </w:p>
    <w:p>
      <w:pPr>
        <w:keepNext/>
        <w:spacing w:after="60" w:before="60"/>
      </w:pPr>
      <w:r>
        <w:rPr>
          <w:b/>
          <w:i w:val="0"/>
          <w:color w:val="1F3A68"/>
          <w:sz w:val="24"/>
        </w:rPr>
        <w:t>5.  Projected Post-RTO Value  (Projection — Not a Promise)</w:t>
      </w:r>
    </w:p>
    <w:p>
      <w:pPr>
        <w:spacing w:after="40" w:before="0"/>
      </w:pPr>
      <w:r>
        <w:rPr>
          <w:b w:val="0"/>
          <w:i/>
          <w:color w:val="606060"/>
          <w:sz w:val="17"/>
        </w:rPr>
        <w:t>Forward-looking projection — management assumptions (RTO completion, listing valuation, ~30% dilution). Not a guarantee; actual results may differ. RTO may not close. SEC Rule 10b-5, 17 CFR 240.10b-5 (https://www.ecfr.gov/current/title-17/chapter-II/part-240/section-240.10b-5) antifraud rules apply. 409A issuance value: ~$1.70M. Up-front 1.0% EAI only; earn-out column is additional, at listing, pre-dilution.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1224"/>
        <w:gridCol w:w="1584"/>
        <w:gridCol w:w="1872"/>
        <w:gridCol w:w="2015"/>
      </w:tblGrid>
      <w:tr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122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RTO MEV</w:t>
            </w:r>
          </w:p>
        </w:tc>
        <w:tc>
          <w:tcPr>
            <w:tcW w:type="dxa" w:w="1584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1.0% pre-dil</w:t>
            </w:r>
          </w:p>
        </w:tc>
        <w:tc>
          <w:tcPr>
            <w:tcW w:type="dxa" w:w="1872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1.0% post-dil</w:t>
              <w:br/>
              <w:t>(~30% dil)</w:t>
            </w:r>
          </w:p>
        </w:tc>
        <w:tc>
          <w:tcPr>
            <w:tcW w:type="dxa" w:w="2016"/>
            <w:shd w:val="clear" w:color="auto" w:fill="1F3A68"/>
          </w:tcPr>
          <w:p>
            <w:r/>
            <w:r>
              <w:rPr>
                <w:b/>
                <w:color w:val="FFFFFF"/>
                <w:sz w:val="18"/>
              </w:rPr>
              <w:t>+ earn-out at listing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Low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$2.00M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$1.40M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$0 (0.0%)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$250M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$2.50M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$1.75M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+$625K (0.25% @ $250M)</w:t>
            </w:r>
          </w:p>
        </w:tc>
      </w:tr>
      <w:tr>
        <w:tc>
          <w:tcPr>
            <w:tcW w:type="dxa" w:w="1224"/>
          </w:tcPr>
          <w:p>
            <w:r/>
            <w:r>
              <w:rPr>
                <w:b/>
                <w:sz w:val="18"/>
              </w:rPr>
              <w:t>High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$300M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$3.00M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$2.10M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+$1.5M (0.50% @ $300M)</w:t>
            </w:r>
          </w:p>
        </w:tc>
      </w:tr>
    </w:tbl>
    <w:p>
      <w:pPr>
        <w:spacing w:after="60" w:before="0"/>
      </w:pPr>
    </w:p>
    <w:p>
      <w:pPr>
        <w:spacing w:after="40" w:before="0"/>
      </w:pPr>
      <w:r>
        <w:rPr>
          <w:b w:val="0"/>
          <w:i/>
          <w:color w:val="606060"/>
          <w:sz w:val="17"/>
        </w:rPr>
        <w:t>Detail in model: drafts/EXOS_SSLC_OptionB_Acquisition_Model_2026-10-07.xlsx  ·  With-vs-Without comparison: sheet 'With vs Without Exos Capital'  ·  Exclusivity rescue options: SSLC_Exclusivity_Rescue_Options_and_Draft_Message_2026-10-07_DRAFT_v2.docx</w:t>
      </w:r>
    </w:p>
    <w:p>
      <w:pPr>
        <w:spacing w:after="0" w:before="80"/>
        <w:jc w:val="center"/>
      </w:pPr>
      <w:r>
        <w:rPr>
          <w:b/>
          <w:i w:val="0"/>
          <w:color w:val="C00000"/>
          <w:sz w:val="17"/>
        </w:rPr>
        <w:t>DRAFT — INTERNAL — NEGOTIATING TERMS — John Quinn, CEO, Exos Aerospace — 2026-10-09</w:t>
      </w:r>
    </w:p>
    <w:sectPr w:rsidR="00D02269" w:rsidRPr="007C623E" w:rsidSect="006E0F85">
      <w:headerReference w:type="default" r:id="rId12"/>
      <w:footerReference w:type="default" r:id="rId14"/>
      <w:pgSz w:w="12240" w:h="15840"/>
      <w:pgMar w:top="1584" w:right="576" w:bottom="1512" w:left="1440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A9F3A" w14:textId="77777777" w:rsidR="00A928DF" w:rsidRDefault="00A928DF" w:rsidP="00A00680">
      <w:r>
        <w:separator/>
      </w:r>
    </w:p>
  </w:endnote>
  <w:endnote w:type="continuationSeparator" w:id="0">
    <w:p w14:paraId="7F79A9D2" w14:textId="77777777" w:rsidR="00A928DF" w:rsidRDefault="00A928DF" w:rsidP="00A006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77A47" w14:textId="77777777" w:rsidR="007D3D8F" w:rsidRDefault="007D3D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FC7E1" w14:textId="041F3336" w:rsidR="00153AFE" w:rsidRDefault="00153AFE" w:rsidP="00153AFE">
    <w:pPr>
      <w:pStyle w:val="Footer"/>
    </w:pPr>
  </w:p>
  <w:p w14:paraId="7E53FDB1" w14:textId="05BAE708" w:rsidR="00153AFE" w:rsidRPr="00AD1D32" w:rsidRDefault="00153AFE" w:rsidP="00153AFE">
    <w:pPr>
      <w:pStyle w:val="Footer"/>
    </w:pPr>
  </w:p>
  <w:p w14:paraId="5BED68FB" w14:textId="3BFC5E88" w:rsidR="00153AFE" w:rsidRDefault="005205E5" w:rsidP="005205E5">
    <w:pPr>
      <w:pStyle w:val="Footer"/>
      <w:jc w:val="center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7387259" wp14:editId="5BC35EEC">
          <wp:simplePos x="0" y="0"/>
          <wp:positionH relativeFrom="page">
            <wp:align>right</wp:align>
          </wp:positionH>
          <wp:positionV relativeFrom="paragraph">
            <wp:posOffset>63690</wp:posOffset>
          </wp:positionV>
          <wp:extent cx="3425190" cy="561150"/>
          <wp:effectExtent l="0" t="0" r="0" b="0"/>
          <wp:wrapNone/>
          <wp:docPr id="1274565867" name="Picture 1274565867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exosletterhead_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25190" cy="561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37924" w14:textId="77777777" w:rsidR="007D3D8F" w:rsidRDefault="007D3D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5324B" w14:textId="77777777" w:rsidR="00A928DF" w:rsidRDefault="00A928DF" w:rsidP="00A00680">
      <w:r>
        <w:separator/>
      </w:r>
    </w:p>
  </w:footnote>
  <w:footnote w:type="continuationSeparator" w:id="0">
    <w:p w14:paraId="2BD1F19D" w14:textId="77777777" w:rsidR="00A928DF" w:rsidRDefault="00A928DF" w:rsidP="00A006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16660" w14:textId="77777777" w:rsidR="007D3D8F" w:rsidRDefault="007D3D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0C9F5" w14:textId="096499BE" w:rsidR="00147251" w:rsidRPr="000E6BAA" w:rsidRDefault="00147251" w:rsidP="00147251">
    <w:pPr>
      <w:pStyle w:val="Header"/>
      <w:tabs>
        <w:tab w:val="left" w:pos="2874"/>
        <w:tab w:val="right" w:pos="4680"/>
        <w:tab w:val="right" w:pos="10224"/>
      </w:tabs>
      <w:rPr>
        <w:rFonts w:ascii="Tahoma" w:hAnsi="Tahoma" w:cs="Tahoma"/>
        <w:color w:val="808080" w:themeColor="background1" w:themeShade="80"/>
      </w:rPr>
    </w:pPr>
    <w:r w:rsidRPr="000E6BAA">
      <w:rPr>
        <w:rFonts w:ascii="Tahoma" w:hAnsi="Tahoma" w:cs="Tahoma"/>
        <w:noProof/>
        <w:color w:val="808080" w:themeColor="background1" w:themeShade="80"/>
      </w:rPr>
      <w:drawing>
        <wp:anchor distT="0" distB="0" distL="114300" distR="114300" simplePos="0" relativeHeight="251658240" behindDoc="1" locked="0" layoutInCell="1" allowOverlap="1" wp14:anchorId="24C38B4E" wp14:editId="74402038">
          <wp:simplePos x="0" y="0"/>
          <wp:positionH relativeFrom="column">
            <wp:posOffset>-902970</wp:posOffset>
          </wp:positionH>
          <wp:positionV relativeFrom="paragraph">
            <wp:posOffset>-468629</wp:posOffset>
          </wp:positionV>
          <wp:extent cx="2880360" cy="594844"/>
          <wp:effectExtent l="0" t="0" r="0" b="0"/>
          <wp:wrapNone/>
          <wp:docPr id="624236723" name="Picture 624236723" descr="exos-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xosletterhead_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96129" cy="598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  <w:r w:rsidR="000E645B">
      <w:rPr>
        <w:rFonts w:ascii="Tahoma" w:hAnsi="Tahoma" w:cs="Tahoma"/>
        <w:color w:val="808080" w:themeColor="background1" w:themeShade="80"/>
      </w:rPr>
      <w:tab/>
    </w:r>
  </w:p>
  <w:p w14:paraId="77BB0A6B" w14:textId="1AFFC7D2" w:rsidR="000E6BAA" w:rsidRPr="000E6BAA" w:rsidRDefault="000E6BAA" w:rsidP="00BD08F1">
    <w:pPr>
      <w:pStyle w:val="Header"/>
      <w:jc w:val="center"/>
      <w:rPr>
        <w:rFonts w:ascii="Tahoma" w:hAnsi="Tahoma" w:cs="Tahoma"/>
        <w:color w:val="808080" w:themeColor="background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06036" w14:textId="77777777" w:rsidR="007D3D8F" w:rsidRDefault="007D3D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23731"/>
    <w:multiLevelType w:val="multilevel"/>
    <w:tmpl w:val="2A1A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16D92"/>
    <w:multiLevelType w:val="multilevel"/>
    <w:tmpl w:val="B816D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8E4D6A"/>
    <w:multiLevelType w:val="multilevel"/>
    <w:tmpl w:val="3E80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4803D6"/>
    <w:multiLevelType w:val="hybridMultilevel"/>
    <w:tmpl w:val="B3DEC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823CD"/>
    <w:multiLevelType w:val="multilevel"/>
    <w:tmpl w:val="5174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830758"/>
    <w:multiLevelType w:val="multilevel"/>
    <w:tmpl w:val="B36A8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5A6222"/>
    <w:multiLevelType w:val="multilevel"/>
    <w:tmpl w:val="086C5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15241"/>
    <w:multiLevelType w:val="multilevel"/>
    <w:tmpl w:val="B8C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9E40D4"/>
    <w:multiLevelType w:val="multilevel"/>
    <w:tmpl w:val="9280E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566CEB"/>
    <w:multiLevelType w:val="multilevel"/>
    <w:tmpl w:val="7E2A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A732D0"/>
    <w:multiLevelType w:val="multilevel"/>
    <w:tmpl w:val="2D40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4A1CBE"/>
    <w:multiLevelType w:val="multilevel"/>
    <w:tmpl w:val="97647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A4EB0"/>
    <w:multiLevelType w:val="multilevel"/>
    <w:tmpl w:val="DB7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8644693">
    <w:abstractNumId w:val="3"/>
  </w:num>
  <w:num w:numId="2" w16cid:durableId="1353528203">
    <w:abstractNumId w:val="1"/>
  </w:num>
  <w:num w:numId="3" w16cid:durableId="1015813018">
    <w:abstractNumId w:val="7"/>
  </w:num>
  <w:num w:numId="4" w16cid:durableId="2015566524">
    <w:abstractNumId w:val="4"/>
  </w:num>
  <w:num w:numId="5" w16cid:durableId="870142476">
    <w:abstractNumId w:val="8"/>
  </w:num>
  <w:num w:numId="6" w16cid:durableId="692537600">
    <w:abstractNumId w:val="9"/>
  </w:num>
  <w:num w:numId="7" w16cid:durableId="22829662">
    <w:abstractNumId w:val="6"/>
  </w:num>
  <w:num w:numId="8" w16cid:durableId="1236429732">
    <w:abstractNumId w:val="0"/>
  </w:num>
  <w:num w:numId="9" w16cid:durableId="813722674">
    <w:abstractNumId w:val="5"/>
  </w:num>
  <w:num w:numId="10" w16cid:durableId="1891838380">
    <w:abstractNumId w:val="12"/>
  </w:num>
  <w:num w:numId="11" w16cid:durableId="1136295167">
    <w:abstractNumId w:val="11"/>
  </w:num>
  <w:num w:numId="12" w16cid:durableId="111945368">
    <w:abstractNumId w:val="2"/>
  </w:num>
  <w:num w:numId="13" w16cid:durableId="3752823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O3NDUzNDQ0tzQzMjNV0lEKTi0uzszPAykwrAUA/DiwziwAAAA="/>
  </w:docVars>
  <w:rsids>
    <w:rsidRoot w:val="00347922"/>
    <w:rsid w:val="000D2A14"/>
    <w:rsid w:val="000D3330"/>
    <w:rsid w:val="000E645B"/>
    <w:rsid w:val="000E6BAA"/>
    <w:rsid w:val="001316D3"/>
    <w:rsid w:val="00147251"/>
    <w:rsid w:val="00153AFE"/>
    <w:rsid w:val="00166FF3"/>
    <w:rsid w:val="001C45E9"/>
    <w:rsid w:val="001C5A7E"/>
    <w:rsid w:val="001F4FE4"/>
    <w:rsid w:val="001F5095"/>
    <w:rsid w:val="00255B59"/>
    <w:rsid w:val="00265C2B"/>
    <w:rsid w:val="0029014E"/>
    <w:rsid w:val="002A2DC3"/>
    <w:rsid w:val="002A5D3B"/>
    <w:rsid w:val="00317CDE"/>
    <w:rsid w:val="00347922"/>
    <w:rsid w:val="0035562B"/>
    <w:rsid w:val="003834E3"/>
    <w:rsid w:val="00432689"/>
    <w:rsid w:val="00453A15"/>
    <w:rsid w:val="0045462F"/>
    <w:rsid w:val="00454EA1"/>
    <w:rsid w:val="00460E09"/>
    <w:rsid w:val="004B0C4B"/>
    <w:rsid w:val="005205E5"/>
    <w:rsid w:val="005C3232"/>
    <w:rsid w:val="005C77DB"/>
    <w:rsid w:val="00633CFF"/>
    <w:rsid w:val="00680BDE"/>
    <w:rsid w:val="006E0F85"/>
    <w:rsid w:val="00714763"/>
    <w:rsid w:val="007C623E"/>
    <w:rsid w:val="007D3D8F"/>
    <w:rsid w:val="008519E3"/>
    <w:rsid w:val="008D5214"/>
    <w:rsid w:val="008E1AFE"/>
    <w:rsid w:val="00905EFA"/>
    <w:rsid w:val="00961AC9"/>
    <w:rsid w:val="0098334F"/>
    <w:rsid w:val="00987FDA"/>
    <w:rsid w:val="009A7969"/>
    <w:rsid w:val="00A00680"/>
    <w:rsid w:val="00A21352"/>
    <w:rsid w:val="00A4282A"/>
    <w:rsid w:val="00A474CA"/>
    <w:rsid w:val="00A928DF"/>
    <w:rsid w:val="00AC6C96"/>
    <w:rsid w:val="00AF12DB"/>
    <w:rsid w:val="00B779D5"/>
    <w:rsid w:val="00B9321D"/>
    <w:rsid w:val="00BD08F1"/>
    <w:rsid w:val="00C321D3"/>
    <w:rsid w:val="00C8460F"/>
    <w:rsid w:val="00CD2C93"/>
    <w:rsid w:val="00D02269"/>
    <w:rsid w:val="00D82768"/>
    <w:rsid w:val="00DA7C10"/>
    <w:rsid w:val="00ED4B89"/>
    <w:rsid w:val="00EF2670"/>
    <w:rsid w:val="00F04389"/>
    <w:rsid w:val="00F17714"/>
    <w:rsid w:val="00F86327"/>
    <w:rsid w:val="00FE0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176D9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alibri" w:hAnsi="Calibri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680"/>
  </w:style>
  <w:style w:type="paragraph" w:styleId="Footer">
    <w:name w:val="footer"/>
    <w:basedOn w:val="Normal"/>
    <w:link w:val="FooterChar"/>
    <w:uiPriority w:val="99"/>
    <w:unhideWhenUsed/>
    <w:rsid w:val="00A006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680"/>
  </w:style>
  <w:style w:type="paragraph" w:styleId="ListParagraph">
    <w:name w:val="List Paragraph"/>
    <w:basedOn w:val="Normal"/>
    <w:uiPriority w:val="34"/>
    <w:qFormat/>
    <w:rsid w:val="001F4FE4"/>
    <w:pPr>
      <w:spacing w:after="160" w:line="259" w:lineRule="auto"/>
      <w:ind w:left="720"/>
      <w:contextualSpacing/>
    </w:pPr>
    <w:rPr>
      <w:kern w:val="2"/>
      <w:sz w:val="22"/>
      <w:szCs w:val="22"/>
      <w14:ligatures w14:val="standardContextual"/>
    </w:rPr>
  </w:style>
  <w:style w:type="character" w:customStyle="1" w:styleId="text-token-text-secondary">
    <w:name w:val="text-token-text-secondary"/>
    <w:basedOn w:val="DefaultParagraphFont"/>
    <w:rsid w:val="001F4FE4"/>
  </w:style>
  <w:style w:type="character" w:styleId="Hyperlink">
    <w:name w:val="Hyperlink"/>
    <w:basedOn w:val="DefaultParagraphFont"/>
    <w:uiPriority w:val="99"/>
    <w:unhideWhenUsed/>
    <w:rsid w:val="001F4FE4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F4FE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1F4FE4"/>
    <w:rPr>
      <w:b/>
      <w:bCs/>
    </w:rPr>
  </w:style>
  <w:style w:type="character" w:styleId="UnresolvedMention">
    <w:name w:val="Unresolved Mention"/>
    <w:basedOn w:val="DefaultParagraphFont"/>
    <w:uiPriority w:val="99"/>
    <w:rsid w:val="00BD08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3" ma:contentTypeDescription="Create a new document." ma:contentTypeScope="" ma:versionID="263de4db15e980f31c7a9f0e35eb1966">
  <xsd:schema xmlns:xsd="http://www.w3.org/2001/XMLSchema" xmlns:xs="http://www.w3.org/2001/XMLSchema" xmlns:p="http://schemas.microsoft.com/office/2006/metadata/properties" xmlns:ns2="e1558a10-1879-455f-b4fa-cfdedf85505e" targetNamespace="http://schemas.microsoft.com/office/2006/metadata/properties" ma:root="true" ma:fieldsID="a929d5d4558f9b725dc8e1c5ef0a4e28" ns2:_="">
    <xsd:import namespace="e1558a10-1879-455f-b4fa-cfdedf855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558a10-1879-455f-b4fa-cfdedf8550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16354C-C618-42C0-890C-B79BDC3B5D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558a10-1879-455f-b4fa-cfdedf855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FE5F3B5-F71C-B54D-921B-25B8BE513B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C96887-8CC6-4F7F-BF09-CD8A4A0BF1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B38FABD-2EB8-4C41-9791-D9CBE1419BD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Huber</dc:creator>
  <cp:keywords/>
  <dc:description/>
  <cp:lastModifiedBy>John Quinn</cp:lastModifiedBy>
  <cp:revision>26</cp:revision>
  <dcterms:created xsi:type="dcterms:W3CDTF">2025-08-23T21:06:00Z</dcterms:created>
  <dcterms:modified xsi:type="dcterms:W3CDTF">2026-05-22T01:37:00Z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