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A1628"/>
          <w:sz w:val="32"/>
        </w:rPr>
        <w:t>Nebex Deal Structure: BLK3 Wet Lease → AEDC Velocity → Orbital Multi-Mission</w:t>
      </w:r>
    </w:p>
    <w:p>
      <w:r>
        <w:rPr>
          <w:i/>
          <w:color w:val="555555"/>
          <w:sz w:val="19"/>
        </w:rPr>
        <w:t>Exos Aerospace · INTERNAL · Prepared by Exo for John Quinn · October 21, 2026 · Counterparty: Nebex (Tejpaul Bhatia, CEO) · MC #3926</w:t>
      </w:r>
    </w:p>
    <w:p>
      <w:pPr>
        <w:spacing w:before="200"/>
      </w:pPr>
      <w:r>
        <w:rPr>
          <w:b/>
          <w:color w:val="0A1628"/>
          <w:sz w:val="24"/>
        </w:rPr>
        <w:t>Bottom line</w:t>
      </w:r>
    </w:p>
    <w:p>
      <w:r>
        <w:rPr>
          <w:i w:val="0"/>
        </w:rPr>
        <w:t>Nebex funds a $5M BLK3 wet lease. That is a service contract, not an equity investment. Exos uses the leased BLK3 flights to test its reentry systems (reentry body and ejectable black box) on suborbital flights. That work qualifies the same hardware for the orbital first flights Nebex wants to buy. Exos brings the BLK3 flight-test data into AEDC Velocity as prime, with Nebex as its named launch-access partner. The orbital side is set up as a single multi-mission engagement, so follow-on flights can use different launch providers and revenue arrives evenly.</w:t>
      </w:r>
    </w:p>
    <w:p>
      <w:pPr>
        <w:spacing w:before="200"/>
      </w:pPr>
      <w:r>
        <w:rPr>
          <w:b/>
          <w:color w:val="0A1628"/>
          <w:sz w:val="24"/>
        </w:rPr>
        <w:t>Tej's comments: what they tell us to do</w:t>
      </w:r>
    </w:p>
    <w:tbl>
      <w:tblPr>
        <w:tblStyle w:val="LightGrid-Accent1"/>
        <w:tblW w:type="auto" w:w="0"/>
        <w:tblLook w:firstColumn="1" w:firstRow="1" w:lastColumn="0" w:lastRow="0" w:noHBand="0" w:noVBand="1" w:val="04A0"/>
      </w:tblPr>
      <w:tblGrid>
        <w:gridCol w:w="4680"/>
        <w:gridCol w:w="4680"/>
      </w:tblGrid>
      <w:tr>
        <w:tc>
          <w:tcPr>
            <w:tcW w:type="dxa" w:w="4680"/>
          </w:tcPr>
          <w:p>
            <w:r>
              <w:rPr>
                <w:b/>
              </w:rPr>
              <w:t>What Tej said (10/21)</w:t>
            </w:r>
          </w:p>
        </w:tc>
        <w:tc>
          <w:tcPr>
            <w:tcW w:type="dxa" w:w="4680"/>
          </w:tcPr>
          <w:p>
            <w:r>
              <w:rPr>
                <w:b/>
              </w:rPr>
              <w:t>Guidance for the structure</w:t>
            </w:r>
          </w:p>
        </w:tc>
      </w:tr>
      <w:tr>
        <w:tc>
          <w:tcPr>
            <w:tcW w:type="dxa" w:w="4680"/>
          </w:tcPr>
          <w:p>
            <w:r>
              <w:t>The $5M figure didn't faze him.</w:t>
            </w:r>
          </w:p>
        </w:tc>
        <w:tc>
          <w:tcPr>
            <w:tcW w:type="dxa" w:w="4680"/>
          </w:tcPr>
          <w:p>
            <w:r>
              <w:t>Hold $5M as the wet-lease price. Don't discount it to close; any concession goes into scope (more flights or data), not price.</w:t>
            </w:r>
          </w:p>
        </w:tc>
      </w:tr>
      <w:tr>
        <w:tc>
          <w:tcPr>
            <w:tcW w:type="dxa" w:w="4680"/>
          </w:tcPr>
          <w:p>
            <w:r>
              <w:t>He can fund the wet lease, not an equity investment.</w:t>
            </w:r>
          </w:p>
        </w:tc>
        <w:tc>
          <w:tcPr>
            <w:tcW w:type="dxa" w:w="4680"/>
          </w:tcPr>
          <w:p>
            <w:r>
              <w:t>Drop the $5M strategic investment from every Nebex document and conversation. No equity, warrants or Rule 504 papers tied to this deal. The lease stands on its own.</w:t>
            </w:r>
          </w:p>
        </w:tc>
      </w:tr>
      <w:tr>
        <w:tc>
          <w:tcPr>
            <w:tcW w:type="dxa" w:w="4680"/>
          </w:tcPr>
          <w:p>
            <w:r>
              <w:t>Flights 2–5 can be with different providers under a multi-mission engagement.</w:t>
            </w:r>
          </w:p>
        </w:tc>
        <w:tc>
          <w:tcPr>
            <w:tcW w:type="dxa" w:w="4680"/>
          </w:tcPr>
          <w:p>
            <w:r>
              <w:t>Write the orbital piece as ONE multi-mission engagement (flight 1 plus flights 2–5), with each mission free to name its own provider. Exos stays the integrator across all of them.</w:t>
            </w:r>
          </w:p>
        </w:tc>
      </w:tr>
      <w:tr>
        <w:tc>
          <w:tcPr>
            <w:tcW w:type="dxa" w:w="4680"/>
          </w:tcPr>
          <w:p>
            <w:r>
              <w:t>Multi-mission is 'probably a better path'; it evens out revenue.</w:t>
            </w:r>
          </w:p>
        </w:tc>
        <w:tc>
          <w:tcPr>
            <w:tcW w:type="dxa" w:w="4680"/>
          </w:tcPr>
          <w:p>
            <w:r>
              <w:t>Price the engagement as a level per-mission fee across the five missions, not one first-flight discount followed by full-price follow-ons. That smooths cash for both sides.</w:t>
            </w:r>
          </w:p>
        </w:tc>
      </w:tr>
      <w:tr>
        <w:tc>
          <w:tcPr>
            <w:tcW w:type="dxa" w:w="4680"/>
          </w:tcPr>
          <w:p>
            <w:r>
              <w:t>(Earlier) He wants a discounted first-flight bay in exchange for follow-on bookings.</w:t>
            </w:r>
          </w:p>
        </w:tc>
        <w:tc>
          <w:tcPr>
            <w:tcW w:type="dxa" w:w="4680"/>
          </w:tcPr>
          <w:p>
            <w:r>
              <w:t>Flight 1 carries the outcome-proof Maiden Flight Data Package, so it earns money even if the rocket fails. Nearly one in two first flights of a new rocket goes wrong [3].</w:t>
            </w:r>
          </w:p>
        </w:tc>
      </w:tr>
    </w:tbl>
    <w:p/>
    <w:p>
      <w:pPr>
        <w:spacing w:before="200"/>
      </w:pPr>
      <w:r>
        <w:rPr>
          <w:b/>
          <w:color w:val="0A1628"/>
          <w:sz w:val="24"/>
        </w:rPr>
        <w:t>The three-layer architecture</w:t>
      </w:r>
    </w:p>
    <w:p>
      <w:r>
        <w:rPr>
          <w:i w:val="0"/>
        </w:rPr>
        <w:t>Layer 1: Commercial. BLK3 Wet Lease &amp; O&amp;M Agreement (Nebex = Client)</w:t>
      </w:r>
    </w:p>
    <w:p>
      <w:pPr>
        <w:pStyle w:val="ListBullet"/>
      </w:pPr>
      <w:r>
        <w:rPr>
          <w:b/>
        </w:rPr>
        <w:t>Vehicle:</w:t>
      </w:r>
      <w:r>
        <w:t xml:space="preserve"> the BLK3 wet-lease template already on #3926 (from Copernic r5), with Appendix I (Orbital First-Flight Precursor Program) as the operative scope.</w:t>
      </w:r>
    </w:p>
    <w:p>
      <w:pPr>
        <w:pStyle w:val="ListBullet"/>
      </w:pPr>
      <w:r>
        <w:rPr>
          <w:b/>
        </w:rPr>
        <w:t>Price:</w:t>
      </w:r>
      <w:r>
        <w:t xml:space="preserve"> $5,000,000 for a dedicated BLK3 reentry test campaign. Number of flights: [CONFIRM: Phil, how many flights $5M covers].</w:t>
      </w:r>
    </w:p>
    <w:p>
      <w:pPr>
        <w:pStyle w:val="ListBullet"/>
      </w:pPr>
      <w:r>
        <w:rPr>
          <w:b/>
        </w:rPr>
        <w:t>Proposed payment milestones:</w:t>
      </w:r>
      <w:r>
        <w:t xml:space="preserve"> [50% at signing / 40% at L-120 / 10% after flight data delivery]. This mirrors the Exos standard payload terms; negotiable.</w:t>
      </w:r>
    </w:p>
    <w:p>
      <w:pPr>
        <w:pStyle w:val="ListBullet"/>
      </w:pPr>
      <w:r>
        <w:rPr>
          <w:b/>
        </w:rPr>
        <w:t>What flies:</w:t>
      </w:r>
      <w:r>
        <w:t xml:space="preserve"> Exos reentry systems. (a) Reentry body: separation, thermal protection, telemetry during descent, recovery. (b) Ejectable crash-survivable black box: ascent environment (vibration, shock, acoustics, thermal). Suborbital reentry conditions are below orbital speeds, so BLK3 proves the systems and the data chain, not Mach 25 heating. Test envelope: [CONFIRM: Phil].</w:t>
      </w:r>
    </w:p>
    <w:p>
      <w:pPr>
        <w:pStyle w:val="ListBullet"/>
      </w:pPr>
      <w:r>
        <w:rPr>
          <w:b/>
        </w:rPr>
        <w:t>Data rights:</w:t>
      </w:r>
      <w:r>
        <w:t xml:space="preserve"> Exos keeps the reentry-system design IP. Nebex gets a licence to the flight results for marketing the orbital engagement. Government data rights follow each AEDC project. [NEGOTIATE]</w:t>
      </w:r>
    </w:p>
    <w:p>
      <w:pPr>
        <w:pStyle w:val="ListBullet"/>
      </w:pPr>
      <w:r>
        <w:rPr>
          <w:b/>
        </w:rPr>
        <w:t>Timing:</w:t>
      </w:r>
      <w:r>
        <w:t xml:space="preserve"> BLK3 first flights are planned for early 2027. Describe BLK3 as operating under its 14 CFR Part 431 licence, transitioning to Part 450. Never say bare 'licensed'.</w:t>
      </w:r>
    </w:p>
    <w:p>
      <w:r>
        <w:rPr>
          <w:i w:val="0"/>
        </w:rPr>
        <w:t>Layer 2: Government. AEDC Velocity Alliance (Exos = prime)</w:t>
      </w:r>
    </w:p>
    <w:p>
      <w:pPr>
        <w:pStyle w:val="ListBullet"/>
      </w:pPr>
      <w:r>
        <w:rPr>
          <w:b/>
        </w:rPr>
        <w:t>Why it fits:</w:t>
      </w:r>
      <w:r>
        <w:t xml:space="preserve"> AEDC Velocity is an Other Transaction consortium run by AEDC with the Air Force Test Center under 10 U.S.C. §4022, supporting a multibillion-dollar test-modernization portfolio [1][2]. Exos is a member and pitches flight test as the low-cost complement to ground test. Reentry data from BLK3 can be checked against AEDC's tunnels.</w:t>
      </w:r>
    </w:p>
    <w:p>
      <w:pPr>
        <w:pStyle w:val="ListBullet"/>
      </w:pPr>
      <w:r>
        <w:rPr>
          <w:b/>
        </w:rPr>
        <w:t>How the lease feeds it:</w:t>
      </w:r>
      <w:r>
        <w:t xml:space="preserve"> The Nebex-funded flights are already paid for, so Exos can offer AEDC project announcements (POAs) flight-test data on those flights at low marginal cost. That makes Exos's bids sharper. Hypersonic reentry data has a proven DoD buyer: AFRL is paying Varda to fly reentry capsules as hypersonic testbeds [4].</w:t>
      </w:r>
    </w:p>
    <w:p>
      <w:pPr>
        <w:pStyle w:val="ListBullet"/>
      </w:pPr>
      <w:r>
        <w:rPr>
          <w:b/>
        </w:rPr>
        <w:t>Nebex's role:</w:t>
      </w:r>
      <w:r>
        <w:t xml:space="preserve"> named launch-access partner (firm-fixed-price sub) on the orbital pieces of POAs Exos bids as prime. This only happens after the compliance gate below. Whether a partner with compliance still pending can be named on a POA is not yet confirmed in the RFWP.</w:t>
      </w:r>
    </w:p>
    <w:p>
      <w:pPr>
        <w:pStyle w:val="ListBullet"/>
      </w:pPr>
      <w:r>
        <w:rPr>
          <w:b/>
        </w:rPr>
        <w:t>Keep separate:</w:t>
      </w:r>
      <w:r>
        <w:t xml:space="preserve"> The wet lease is never conditioned on, or credited against, AEDC awards. A tie reads as pay-to-play. Exos is a member; projects are bid individually, nothing is 'awarded'.</w:t>
      </w:r>
    </w:p>
    <w:p>
      <w:r>
        <w:rPr>
          <w:i w:val="0"/>
        </w:rPr>
        <w:t>Layer 3: Orbital. Multi-mission engagement (Nebex buys, Exos integrates)</w:t>
      </w:r>
    </w:p>
    <w:p>
      <w:pPr>
        <w:pStyle w:val="ListBullet"/>
      </w:pPr>
      <w:r>
        <w:rPr>
          <w:b/>
        </w:rPr>
        <w:t>Shape:</w:t>
      </w:r>
      <w:r>
        <w:t xml:space="preserve"> one engagement covering five missions. Flight 1 is the orbital maiden-flight bay at a discount; flights 2–5 can each use a different provider.</w:t>
      </w:r>
    </w:p>
    <w:p>
      <w:pPr>
        <w:pStyle w:val="ListBullet"/>
      </w:pPr>
      <w:r>
        <w:rPr>
          <w:b/>
        </w:rPr>
        <w:t>Exos content:</w:t>
      </w:r>
      <w:r>
        <w:t xml:space="preserve"> the BLK3-qualified reentry body and black box fly as the Maiden Flight Data Package on flight 1, paying on any outcome. Exos fills and resells remaining slices; no free slots.</w:t>
      </w:r>
    </w:p>
    <w:p>
      <w:pPr>
        <w:pStyle w:val="ListBullet"/>
      </w:pPr>
      <w:r>
        <w:rPr>
          <w:b/>
        </w:rPr>
        <w:t>Revenue:</w:t>
      </w:r>
      <w:r>
        <w:t xml:space="preserve"> level per-mission fee across the five missions. Exos integration revenue recurs on every mission, regardless of provider.</w:t>
      </w:r>
    </w:p>
    <w:p>
      <w:pPr>
        <w:pStyle w:val="ListBullet"/>
      </w:pPr>
      <w:r>
        <w:rPr>
          <w:b/>
        </w:rPr>
        <w:t>Phase 2:</w:t>
      </w:r>
      <w:r>
        <w:t xml:space="preserve"> Loft Orbital as a hosting/government-channel option. See the Loft fit assessment on #3926.</w:t>
      </w:r>
    </w:p>
    <w:p>
      <w:pPr>
        <w:spacing w:before="200"/>
      </w:pPr>
      <w:r>
        <w:rPr>
          <w:b/>
          <w:color w:val="0A1628"/>
          <w:sz w:val="24"/>
        </w:rPr>
        <w:t>Money flow</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From → To</w:t>
            </w:r>
          </w:p>
        </w:tc>
        <w:tc>
          <w:tcPr>
            <w:tcW w:type="dxa" w:w="3120"/>
          </w:tcPr>
          <w:p>
            <w:r>
              <w:rPr>
                <w:b/>
              </w:rPr>
              <w:t>What</w:t>
            </w:r>
          </w:p>
        </w:tc>
        <w:tc>
          <w:tcPr>
            <w:tcW w:type="dxa" w:w="3120"/>
          </w:tcPr>
          <w:p>
            <w:r>
              <w:rPr>
                <w:b/>
              </w:rPr>
              <w:t>Basis</w:t>
            </w:r>
          </w:p>
        </w:tc>
      </w:tr>
      <w:tr>
        <w:tc>
          <w:tcPr>
            <w:tcW w:type="dxa" w:w="3120"/>
          </w:tcPr>
          <w:p>
            <w:r>
              <w:t>Nebex → Exos</w:t>
            </w:r>
          </w:p>
        </w:tc>
        <w:tc>
          <w:tcPr>
            <w:tcW w:type="dxa" w:w="3120"/>
          </w:tcPr>
          <w:p>
            <w:r>
              <w:t>$5M BLK3 wet lease (reentry test campaign)</w:t>
            </w:r>
          </w:p>
        </w:tc>
        <w:tc>
          <w:tcPr>
            <w:tcW w:type="dxa" w:w="3120"/>
          </w:tcPr>
          <w:p>
            <w:r>
              <w:t>Wet Lease &amp; O&amp;M Agreement + Appendix I</w:t>
            </w:r>
          </w:p>
        </w:tc>
      </w:tr>
      <w:tr>
        <w:tc>
          <w:tcPr>
            <w:tcW w:type="dxa" w:w="3120"/>
          </w:tcPr>
          <w:p>
            <w:r>
              <w:t>AEDC (via POA) → Exos</w:t>
            </w:r>
          </w:p>
        </w:tc>
        <w:tc>
          <w:tcPr>
            <w:tcW w:type="dxa" w:w="3120"/>
          </w:tcPr>
          <w:p>
            <w:r>
              <w:t>Flight-test data / test services</w:t>
            </w:r>
          </w:p>
        </w:tc>
        <w:tc>
          <w:tcPr>
            <w:tcW w:type="dxa" w:w="3120"/>
          </w:tcPr>
          <w:p>
            <w:r>
              <w:t>Velocity project award, bid individually; Exos prime</w:t>
            </w:r>
          </w:p>
        </w:tc>
      </w:tr>
      <w:tr>
        <w:tc>
          <w:tcPr>
            <w:tcW w:type="dxa" w:w="3120"/>
          </w:tcPr>
          <w:p>
            <w:r>
              <w:t>Exos → Nebex</w:t>
            </w:r>
          </w:p>
        </w:tc>
        <w:tc>
          <w:tcPr>
            <w:tcW w:type="dxa" w:w="3120"/>
          </w:tcPr>
          <w:p>
            <w:r>
              <w:t>Launch-access FFP sub share on POAs that include orbital access</w:t>
            </w:r>
          </w:p>
        </w:tc>
        <w:tc>
          <w:tcPr>
            <w:tcW w:type="dxa" w:w="3120"/>
          </w:tcPr>
          <w:p>
            <w:r>
              <w:t>Teaming agreement after compliance gate</w:t>
            </w:r>
          </w:p>
        </w:tc>
      </w:tr>
      <w:tr>
        <w:tc>
          <w:tcPr>
            <w:tcW w:type="dxa" w:w="3120"/>
          </w:tcPr>
          <w:p>
            <w:r>
              <w:t>Nebex → orbital providers</w:t>
            </w:r>
          </w:p>
        </w:tc>
        <w:tc>
          <w:tcPr>
            <w:tcW w:type="dxa" w:w="3120"/>
          </w:tcPr>
          <w:p>
            <w:r>
              <w:t>Bay purchases on flights 1–5</w:t>
            </w:r>
          </w:p>
        </w:tc>
        <w:tc>
          <w:tcPr>
            <w:tcW w:type="dxa" w:w="3120"/>
          </w:tcPr>
          <w:p>
            <w:r>
              <w:t>Nebex's multi-mission engagement</w:t>
            </w:r>
          </w:p>
        </w:tc>
      </w:tr>
      <w:tr>
        <w:tc>
          <w:tcPr>
            <w:tcW w:type="dxa" w:w="3120"/>
          </w:tcPr>
          <w:p>
            <w:r>
              <w:t>Nebex → Exos</w:t>
            </w:r>
          </w:p>
        </w:tc>
        <w:tc>
          <w:tcPr>
            <w:tcW w:type="dxa" w:w="3120"/>
          </w:tcPr>
          <w:p>
            <w:r>
              <w:t>Per-mission integration fee, flights 1–5</w:t>
            </w:r>
          </w:p>
        </w:tc>
        <w:tc>
          <w:tcPr>
            <w:tcW w:type="dxa" w:w="3120"/>
          </w:tcPr>
          <w:p>
            <w:r>
              <w:t>Multi-mission integration agreement [to draft]</w:t>
            </w:r>
          </w:p>
        </w:tc>
      </w:tr>
    </w:tbl>
    <w:p/>
    <w:p>
      <w:pPr>
        <w:spacing w:before="200"/>
      </w:pPr>
      <w:r>
        <w:rPr>
          <w:b/>
          <w:color w:val="0A1628"/>
          <w:sz w:val="24"/>
        </w:rPr>
        <w:t>Gate (unchanged; nothing moves until it clears)</w:t>
      </w:r>
    </w:p>
    <w:p>
      <w:pPr>
        <w:pStyle w:val="ListBullet"/>
      </w:pPr>
      <w:r>
        <w:t>CSL/OFAC and SAM exclusions screening: CLEAN on 10/21 (Tej, Nebex, Anand Subramanian, Manlio Di Stefano).</w:t>
      </w:r>
    </w:p>
    <w:p>
      <w:pPr>
        <w:pStyle w:val="ListBullet"/>
      </w:pPr>
      <w:r>
        <w:t>ExoSign due-diligence and background-check authorization: SENT 10/21 (env e1018b1c5b05), awaiting signature.</w:t>
      </w:r>
    </w:p>
    <w:p>
      <w:pPr>
        <w:pStyle w:val="ListBullet"/>
      </w:pPr>
      <w:r>
        <w:t>Mutual NDA, then the wet lease, then the teaming agreement.</w:t>
      </w:r>
    </w:p>
    <w:p>
      <w:pPr>
        <w:pStyle w:val="ListBullet"/>
      </w:pPr>
      <w:r>
        <w:t>Empowered Official export review before ANY reentry-system data is shared. This is a foreign-influence flag: co-founder Manlio Di Stefano is a former Italian Vice Minister of Foreign Affairs.</w:t>
      </w:r>
    </w:p>
    <w:p>
      <w:pPr>
        <w:pStyle w:val="ListBullet"/>
      </w:pPr>
      <w:r>
        <w:t>Exos supports Nebex's SAM/CAGE, JCP (DD 2345) and CMMC only if all screening stays clean. SAM shows 'Nebex Solutions, LLC' as INACTIVE (UEI JHD6JZGB2HJ7, CAGE 7YE79); it's not yet confirmed to be the same company.</w:t>
      </w:r>
    </w:p>
    <w:p>
      <w:pPr>
        <w:spacing w:before="200"/>
      </w:pPr>
      <w:r>
        <w:rPr>
          <w:b/>
          <w:color w:val="0A1628"/>
          <w:sz w:val="24"/>
        </w:rPr>
        <w:t>Next conversation with Tej: 30-second version</w:t>
      </w:r>
    </w:p>
    <w:p>
      <w:r>
        <w:rPr>
          <w:i/>
        </w:rPr>
        <w:t>"Here's how we'd put it together. Your $5 million funds a BLK3 wet lease: dedicated flights where we test our reentry body and black box before they go up on an orbital first flight. Those same flights give the Air Force flight-test data through AEDC Velocity, where Exos is a member and you'd come in as our launch-access partner. Then we wrap your orbital flights into one multi-mission engagement, any provider, level pricing per mission. Next step is the due-diligence form and an NDA."</w:t>
      </w:r>
    </w:p>
    <w:p>
      <w:pPr>
        <w:spacing w:before="200"/>
      </w:pPr>
      <w:r>
        <w:rPr>
          <w:b/>
          <w:color w:val="0A1628"/>
          <w:sz w:val="24"/>
        </w:rPr>
        <w:t>Keep out of the conversation</w:t>
      </w:r>
    </w:p>
    <w:p>
      <w:pPr>
        <w:pStyle w:val="ListBullet"/>
      </w:pPr>
      <w:r>
        <w:t>Any equity, investment or 'strategic investment' language. That track is dead for Nebex.</w:t>
      </w:r>
    </w:p>
    <w:p>
      <w:pPr>
        <w:pStyle w:val="ListBullet"/>
      </w:pPr>
      <w:r>
        <w:t>'$2.6B', member count, POA mechanics (members-only Industry Day material). Say 'multibillion-dollar'.</w:t>
      </w:r>
    </w:p>
    <w:p>
      <w:pPr>
        <w:pStyle w:val="ListBullet"/>
      </w:pPr>
      <w:r>
        <w:t>'Awarded' or 'contract won' for Velocity.</w:t>
      </w:r>
    </w:p>
    <w:p>
      <w:pPr>
        <w:pStyle w:val="ListBullet"/>
      </w:pPr>
      <w:r>
        <w:t>BLK3 Mach or reentry-temperature numbers until Phil confirms the envelope.</w:t>
      </w:r>
    </w:p>
    <w:p>
      <w:pPr>
        <w:pStyle w:val="ListBullet"/>
      </w:pPr>
      <w:r>
        <w:t>'On our BLK3 manifest'. There is no manifest yet.</w:t>
      </w:r>
    </w:p>
    <w:p>
      <w:pPr>
        <w:spacing w:before="200"/>
      </w:pPr>
      <w:r>
        <w:rPr>
          <w:b/>
          <w:color w:val="0A1628"/>
          <w:sz w:val="24"/>
        </w:rPr>
        <w:t>What changes on #3926</w:t>
      </w:r>
    </w:p>
    <w:p>
      <w:pPr>
        <w:pStyle w:val="ListBullet"/>
      </w:pPr>
      <w:r>
        <w:t>AEDC Velocity On-Ramp Brief → r2 (attached): $5M strategic investment replaced by the $5M wet lease; script updated.</w:t>
      </w:r>
    </w:p>
    <w:p>
      <w:pPr>
        <w:pStyle w:val="ListBullet"/>
      </w:pPr>
      <w:r>
        <w:t>BLK3 wet-lease template + Appendix I: still valid as-is. Its clause that no investment is required now matches the deal exactly. Populate with Nebex details and the $5M reentry scope once the MNDA is signed.</w:t>
      </w:r>
    </w:p>
    <w:p>
      <w:pPr>
        <w:pStyle w:val="ListBullet"/>
      </w:pPr>
      <w:r>
        <w:t>Rule 504 / David Mitchell review: not needed for Nebex.</w:t>
      </w:r>
    </w:p>
    <w:p>
      <w:pPr>
        <w:spacing w:before="200"/>
      </w:pPr>
      <w:r>
        <w:rPr>
          <w:b/>
          <w:color w:val="0A1628"/>
          <w:sz w:val="24"/>
        </w:rPr>
        <w:t>Sources</w:t>
      </w:r>
    </w:p>
    <w:p>
      <w:pPr>
        <w:pStyle w:val="ListNumber"/>
      </w:pPr>
      <w:r>
        <w:t xml:space="preserve">Arnold AFB, 'AEDC Velocity Alliance advances modernization for future test needs' — </w:t>
      </w:r>
      <w:r>
        <w:rPr>
          <w:color w:val="1F4E99"/>
        </w:rPr>
        <w:t>https://www.arnold.af.mil/News/Article-Display/Article/4574989/aedc-velocity-alliance-advances-modernization-for-future-test-needs</w:t>
      </w:r>
    </w:p>
    <w:p>
      <w:pPr>
        <w:pStyle w:val="ListNumber"/>
      </w:pPr>
      <w:r>
        <w:t xml:space="preserve">Aerospace Testing International, AEDC establishes test modernization consortium — </w:t>
      </w:r>
      <w:r>
        <w:rPr>
          <w:color w:val="1F4E99"/>
        </w:rPr>
        <w:t>https://www.aerospacetestinginternational.com/news/arnold-engineering-development-complex-establishes-test-modernization-consortium.html</w:t>
      </w:r>
    </w:p>
    <w:p>
      <w:pPr>
        <w:pStyle w:val="ListNumber"/>
      </w:pPr>
      <w:r>
        <w:t xml:space="preserve">BBC Future, 'What are the odds of a successful space launch?' (2023) — </w:t>
      </w:r>
      <w:r>
        <w:rPr>
          <w:color w:val="1F4E99"/>
        </w:rPr>
        <w:t>https://www.bbc.com/future/article/20230518-what-are-the-odds-of-a-successful-space-launch</w:t>
      </w:r>
    </w:p>
    <w:p>
      <w:pPr>
        <w:pStyle w:val="ListNumber"/>
      </w:pPr>
      <w:r>
        <w:t xml:space="preserve">C4ISRNET, Varda lands third capsule with AFRL hypersonic data (May 2025) — </w:t>
      </w:r>
      <w:r>
        <w:rPr>
          <w:color w:val="1F4E99"/>
        </w:rPr>
        <w:t>https://www.c4isrnet.com/space/2025/05/14/varda-lands-third-space-capsule-carrying-key-hypersonic-flight-data</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