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7,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relief, and upside across four dimensions — without requiring any additional capital call from current SSLC shareholders.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at close  </w:t>
      </w:r>
      <w:r>
        <w:t>$2,510,000 delivered to SSLC at acquisition close.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Debt relief  </w:t>
      </w:r>
      <w:r>
        <w:t>All SSLC debts paid at face value at close, including the Microcosm loan and Wertz notes (est. ~$500K, to be verified in QuickBooks). Jim Wertz's personal loans are made whole at closing.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Prepaid-work relief  </w:t>
      </w:r>
      <w:r>
        <w:t>$984,062 in already-billed and deposited work is assumed by Exos and funded to completion (Exos working-capital cost: $300K–$700K). SSLC customers receive uninterrupted delivery. No SSLC shareholder funds this obligation.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further capital calls  </w:t>
      </w:r>
      <w:r>
        <w:t>Once closed, SSLC's standalone cash drain stops. Shareholders stop funding a working-capital-negative entity.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Earn-out — IM tank revenue  </w:t>
      </w:r>
      <w:r>
        <w:t>5% of Intuitive Machines tank revenue for 3 years, capped at $300K/year (up to $900K total). Tied to SSLC's existing firm IM demand.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Earn-out — Exos stock  </w:t>
      </w:r>
      <w:r>
        <w:t>0.3%–0.7% of Exos fully diluted shares post-RTO listing (est. $600K–$2.1M at a $200M–$300M listing; $250M minimum MEV per Ainigma/FNEX mandate).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Exos shares + Y5 hold value  </w:t>
      </w:r>
      <w:r>
        <w:t>Stock earn-out is tradeable post-12-month lockup. Held to FY31 at a 16× EV/EBITDA multiple on the Exos plan (~$1.63B EV), a 0.5% grant (~0.35% after ~30% assumed dilution) is worth ~$5.7M (range $3.4M–$8.0M), ~4.5× its ~$1.25M value at listing. Management assumptions.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No delivery interruption to Intuitive Machines; Exos-SSLC entity continues the contract, preserving SSLC's strongest commercial relationship.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$5M for FY27 requires averaging $1.43M per quarter in Q2–Q4 — exactly 2.0×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Prepaid-work gap  </w:t>
      </w:r>
      <w:r>
        <w:t>$300K–$700K needed just to finish $984K already billed or deposited — before SSLC can collect on any new work.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Stacked chart below: funding delivered at close + earn-out forward potential. Base scenario shown; earn-out range (low/high) is in the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1"/>
        <w:gridCol w:w="2015"/>
        <w:gridCol w:w="2592"/>
      </w:tblGrid>
      <w:tr>
        <w:tc>
          <w:tcPr>
            <w:tcW w:type="dxa" w:w="33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 / Range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Cash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~Q1 FY27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SSLC closing costs (Seller)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stake credit (non-cash)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(credit)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$790,000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Debt relief (est., TBV)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Prepaid-work delivery funded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$984K face / $500K Exos cost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Earn-out — IM tanks (3 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FY27–FY29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Up to $900,000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Earn-out — Exos stock (RTO)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Post-RTO ~FY28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$600K–$2.1M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TOTAL (low / mid / high)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$5.3M / $5.9M / $6.9M</w:t>
            </w:r>
          </w:p>
        </w:tc>
      </w:tr>
    </w:tbl>
    <w:p>
      <w:pPr>
        <w:spacing w:after="60" w:before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3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3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|  Full model: EXOS_SSLC_OptionB_Acquisition_Model_2026-10-07.xlsx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$3,360,000 ($2.51M cash + $60K costs + $790K Exos stake credit)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engaged 8/14/2026; agreement still unsigned (held ~1 month)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2026-10-07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