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/>
    <w:p>
      <w:pPr>
        <w:jc w:val="center"/>
      </w:pPr>
      <w:r>
        <w:rPr>
          <w:rFonts w:ascii="Calibri" w:hAnsi="Calibri"/>
          <w:b/>
          <w:i w:val="0"/>
          <w:color w:val="0A3D7C"/>
          <w:sz w:val="36"/>
        </w:rPr>
        <w:t>Exos Aerospace × National Space Transportation Policy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1"/>
        </w:rPr>
        <w:t>Alignment Brief — the “Golden Age of Space Transportation” policy and why it accrues to Exos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Proprietary — Unclassified   |   October 17, 2026   |   Series A data room</w:t>
      </w:r>
    </w:p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The policy, in brief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Updated U.S. National Space Transportation Policy (August 2026), building on the 2025 “Enabling Competition in the Commercial Space Industry” executive order.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Target: 1,000+ launches and reentries per year on U.S. soil by 2030 — roughly a tenfold expansion of today’s cadence.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DOT/FAA to cut spaceport-construction red tape, streamline launch and reentry licensing at scale (further reworking Part 450), and stand up senior space roles; integrate space traffic with air traffic control.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Enable launch within 48 hours of high-priority civil and national-security missions.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Greater commercial involvement in Moon/Mars; stronger emphasis on exporting American capabilities; develop additional launch and reentry/landing sites.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Implementation depends on existing law and Congressional funding — a multi-year tailwind, not an overnight reset.</w:t>
      </w:r>
    </w:p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Why it accrues to Exos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6192"/>
      </w:tblGrid>
      <w:tr>
        <w:tc>
          <w:tcPr>
            <w:tcW w:type="dxa" w:w="5112"/>
            <w:shd w:val="clear" w:fill="0A3D7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Policy pillar</w:t>
            </w:r>
          </w:p>
        </w:tc>
        <w:tc>
          <w:tcPr>
            <w:tcW w:type="dxa" w:w="5112"/>
            <w:shd w:val="clear" w:fill="0A3D7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Exos capability &amp; proof point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1,000 launches and reentries per year by 2030 — reentry is the underserved half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Reusable and recoverable platform: every Exos flight is a launch and a reentry. Few operators compete on recoverable reentry at cadence — a defensible position on the policy’s hardest goal.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48-hour responsive launch for high-priority missions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KARMEN (SF254-D1002) — proposed two flights in 48 hours on BLK3; proposed, not yet demonstrated.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Spaceport / reentry-site build-out; streamlined Part 450 portfolio licensing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Minimal-infrastructure model (pad, power, and communications via a mobile command module) makes new sites inexpensive to stand up; portfolio licensing rewards cadence and multi-site operations (West Texas). One of only three FAA-licensed reusable rocket launch providers in the U.S. (Part 431, transitioning to Part 450).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Commercial Moon/Mars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Scorpius Type 5 linerless composite cryogenic tanks — flight-proven at TRL 9 as the fuel and liquid-oxygen tanks on the Intuitive Machines Odysseus (IM-1) and Athena (IM-2) lunar missions — and in-space cryogenic fluid management: enabling infrastructure for lunar and Mars logistics.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Export American capabilities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International wet-lease and trade-zone posture (Japan, Australia): ITAR-compliant export of U.S. flight-test and launch services.</w:t>
            </w:r>
          </w:p>
        </w:tc>
      </w:tr>
    </w:tbl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Capital-strategy tie-in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The policy is a federal demand-pull signal for Exos: it makes reusable launch, reentry, and spaceports a national priority, supports the AEDC flight-test-range positioning, and provides a market-timing catalyst for the growth and listing narrative.</w:t>
      </w:r>
    </w:p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Investor headline</w:t>
      </w:r>
    </w:p>
    <w:p>
      <w:pPr>
        <w:spacing w:after="120"/>
        <w:ind w:left="173"/>
      </w:pPr>
      <w:r>
        <w:rPr>
          <w:rFonts w:ascii="Calibri" w:hAnsi="Calibri"/>
          <w:b/>
          <w:i w:val="0"/>
          <w:color w:val="0A3D7C"/>
          <w:sz w:val="21"/>
        </w:rPr>
        <w:t>A national policy targeting 1,000+ launches and reentries per year by 2030 sizes the market Exos is built to serve — reusable, recoverable, responsive flight — and points federal demand at exactly the capability Exos provides.</w:t>
      </w:r>
    </w:p>
    <w:p>
      <w:pPr>
        <w:spacing w:before="80"/>
      </w:pPr>
      <w:r>
        <w:rPr>
          <w:rFonts w:ascii="Calibri" w:hAnsi="Calibri"/>
          <w:b w:val="0"/>
          <w:i/>
          <w:color w:val="555555"/>
          <w:sz w:val="17"/>
        </w:rPr>
        <w:t>Directional; reflects public policy reporting as of August 21, 2026 and Exos program status. Exos has not to date performed direct RDRE hardware development. Exos operates under a Part 431 FAA launch license, transitioning to Part 450; BLK3 hover test campaign completed. BLK3 is preparing for flight; it has not flown commercially. Proprietary — Unclassified. Not investment advice.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