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B2A4A"/>
          <w:sz w:val="30"/>
        </w:rPr>
        <w:t>NYK × Exos — Sea Recovery and Sea Launch Strategy</w:t>
      </w:r>
    </w:p>
    <w:p>
      <w:pPr>
        <w:spacing w:after="100"/>
      </w:pPr>
      <w:r>
        <w:rPr>
          <w:i/>
          <w:sz w:val="19"/>
        </w:rPr>
        <w:t>Six ranked options, from highest strategic potential to lowest, with execution sequence, proof plan and export gates. INTERNAL — for Jon. Not for NYK distribution in this form. Prepared 2026-10-18 for the Oct 28, 2026 8:00 AM JST NYK meeting (Tue Oct 27, 6:00 PM CDT). MC #3808.</w:t>
      </w:r>
    </w:p>
    <w:p>
      <w:pPr>
        <w:spacing w:before="200" w:after="80"/>
      </w:pPr>
      <w:r>
        <w:rPr>
          <w:b/>
          <w:color w:val="0B2A4A"/>
          <w:sz w:val="25"/>
        </w:rPr>
        <w:t>1. Bottom line</w:t>
      </w:r>
    </w:p>
    <w:p>
      <w:pPr>
        <w:pStyle w:val="ListBullet"/>
        <w:spacing w:after="40"/>
      </w:pPr>
      <w:r>
        <w:rPr>
          <w:b/>
        </w:rPr>
        <w:t>Recommendation.</w:t>
      </w:r>
      <w:r>
        <w:t xml:space="preserve"> Lead with the drone-ship ‘dry pool’ — BLK3 recovered into a contained water basin on an NYK vessel, never touching seawater. It is the option NYK cannot get from anyone else, it plugs directly into NYK’s funded JAXA SSF recovery-vessel program, and Exos owns the vehicle side of the interface.</w:t>
      </w:r>
    </w:p>
    <w:p>
      <w:pPr>
        <w:pStyle w:val="ListBullet"/>
        <w:spacing w:after="40"/>
      </w:pPr>
      <w:r>
        <w:rPr>
          <w:b/>
        </w:rPr>
        <w:t>Prove it first:</w:t>
      </w:r>
      <w:r>
        <w:t xml:space="preserve"> BLK3 first launch from Hokkaido Spaceport (HOSPO), reentry, and recovery on the shore. Low risk, it makes Exos the first live vehicle NYK touches, and it is the gating proof for every sea option.</w:t>
      </w:r>
    </w:p>
    <w:p>
      <w:pPr>
        <w:pStyle w:val="ListBullet"/>
        <w:spacing w:after="40"/>
      </w:pPr>
      <w:r>
        <w:rPr>
          <w:b/>
        </w:rPr>
        <w:t>Big swing:</w:t>
      </w:r>
      <w:r>
        <w:t xml:space="preserve"> NYK designs a modified barge / twin-hull vessel that launches over open water and uses the ocean as the flame trench. Largest long-run value (orbital, BLK4 Heavy plus third-party launchers), longest horizon. Pitch it as the Phase 3 vision on the same hull family, not a near-term ask.</w:t>
      </w:r>
    </w:p>
    <w:p>
      <w:pPr>
        <w:pStyle w:val="ListBullet"/>
        <w:spacing w:after="40"/>
      </w:pPr>
      <w:r>
        <w:rPr>
          <w:b/>
        </w:rPr>
        <w:t>Protect the IP first:</w:t>
      </w:r>
      <w:r>
        <w:t xml:space="preserve"> File a provisional patent on the dry-pool recovery and open-water flame-duct concepts BEFORE any design-level disclosure to NYK, and keep Oct 28 at capability level until the TAA is approved.</w:t>
      </w:r>
    </w:p>
    <w:p>
      <w:pPr>
        <w:spacing w:before="200" w:after="80"/>
      </w:pPr>
      <w:r>
        <w:rPr>
          <w:b/>
          <w:color w:val="0B2A4A"/>
          <w:sz w:val="25"/>
        </w:rPr>
        <w:t>2. What NYK already has (why this fits)</w:t>
      </w:r>
    </w:p>
    <w:p>
      <w:pPr>
        <w:pStyle w:val="ListBullet"/>
        <w:spacing w:after="40"/>
      </w:pPr>
      <w:r>
        <w:rPr>
          <w:b/>
        </w:rPr>
        <w:t>Funded recovery program.</w:t>
      </w:r>
      <w:r>
        <w:t xml:space="preserve"> NYK leads, with MHI, a JAXA Space Strategy Fund project for an offshore reusable-rocket recovery vessel: capture at sea, securing and residual-propellant discharge, a landing deck for jet blast and impact, remote operation, and a prototype vessel with sea trials. Source: https://www.nyk.com/english/news/2025/20250422_01.html</w:t>
      </w:r>
    </w:p>
    <w:p>
      <w:pPr>
        <w:pStyle w:val="ListBullet"/>
        <w:spacing w:after="40"/>
      </w:pPr>
      <w:r>
        <w:rPr>
          <w:b/>
        </w:rPr>
        <w:t>Progress.</w:t>
      </w:r>
      <w:r>
        <w:t xml:space="preserve"> ClassNK Approval in Principle for the concept, July 2025 (https://www.nyk.com/english/news/2025/20250724_02.html); University of Osaka joint research on vessel motion from July 2026 (https://www.nyk.com/english/news/2026/20260701_01.html).</w:t>
      </w:r>
    </w:p>
    <w:p>
      <w:pPr>
        <w:pStyle w:val="ListBullet"/>
        <w:spacing w:after="40"/>
      </w:pPr>
      <w:r>
        <w:rPr>
          <w:b/>
        </w:rPr>
        <w:t>Japan-specific problem.</w:t>
      </w:r>
      <w:r>
        <w:t xml:space="preserve"> A 2024 ClassNK study notes the seas around Japan are rougher than off Florida, so barge-style recovery that works for SpaceX may not transfer; a large, sea-kindly ship is needed. Source: https://www.classnk.or.jp/hp/pdf/research/rd/2024/09_e06.pdf</w:t>
      </w:r>
    </w:p>
    <w:p>
      <w:pPr>
        <w:pStyle w:val="ListBullet"/>
        <w:spacing w:after="40"/>
      </w:pPr>
      <w:r>
        <w:rPr>
          <w:b/>
        </w:rPr>
        <w:t>The gap.</w:t>
      </w:r>
      <w:r>
        <w:t xml:space="preserve"> NYK has a vessel program but, as far as we can find, no flying vehicle committed to it. Exos has a reusable vehicle and needs a sea-recovery partner. That gap is the whole strategy.</w:t>
      </w:r>
    </w:p>
    <w:p>
      <w:pPr>
        <w:spacing w:before="200" w:after="80"/>
      </w:pPr>
      <w:r>
        <w:rPr>
          <w:b/>
          <w:color w:val="0B2A4A"/>
          <w:sz w:val="25"/>
        </w:rPr>
        <w:t>3. Ranked options</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576"/>
          </w:tcPr>
          <w:p>
            <w:r/>
            <w:r>
              <w:rPr>
                <w:b/>
                <w:sz w:val="18"/>
              </w:rPr>
              <w:t>Rank</w:t>
            </w:r>
          </w:p>
        </w:tc>
        <w:tc>
          <w:tcPr>
            <w:tcW w:type="dxa" w:w="2448"/>
          </w:tcPr>
          <w:p>
            <w:r/>
            <w:r>
              <w:rPr>
                <w:b/>
                <w:sz w:val="18"/>
              </w:rPr>
              <w:t>Option</w:t>
            </w:r>
          </w:p>
        </w:tc>
        <w:tc>
          <w:tcPr>
            <w:tcW w:type="dxa" w:w="1296"/>
          </w:tcPr>
          <w:p>
            <w:r/>
            <w:r>
              <w:rPr>
                <w:b/>
                <w:sz w:val="18"/>
              </w:rPr>
              <w:t>Strategic value</w:t>
            </w:r>
          </w:p>
        </w:tc>
        <w:tc>
          <w:tcPr>
            <w:tcW w:type="dxa" w:w="1296"/>
          </w:tcPr>
          <w:p>
            <w:r/>
            <w:r>
              <w:rPr>
                <w:b/>
                <w:sz w:val="18"/>
              </w:rPr>
              <w:t>Exos $ potential</w:t>
            </w:r>
          </w:p>
        </w:tc>
        <w:tc>
          <w:tcPr>
            <w:tcW w:type="dxa" w:w="1152"/>
          </w:tcPr>
          <w:p>
            <w:r/>
            <w:r>
              <w:rPr>
                <w:b/>
                <w:sz w:val="18"/>
              </w:rPr>
              <w:t>Time to first proof</w:t>
            </w:r>
          </w:p>
        </w:tc>
        <w:tc>
          <w:tcPr>
            <w:tcW w:type="dxa" w:w="1296"/>
          </w:tcPr>
          <w:p>
            <w:r/>
            <w:r>
              <w:rPr>
                <w:b/>
                <w:sz w:val="18"/>
              </w:rPr>
              <w:t>Exos control</w:t>
            </w:r>
          </w:p>
        </w:tc>
        <w:tc>
          <w:tcPr>
            <w:tcW w:type="dxa" w:w="1872"/>
          </w:tcPr>
          <w:p>
            <w:r/>
            <w:r>
              <w:rPr>
                <w:b/>
                <w:sz w:val="18"/>
              </w:rPr>
              <w:t>Key risk</w:t>
            </w:r>
          </w:p>
        </w:tc>
      </w:tr>
      <w:tr>
        <w:tc>
          <w:tcPr>
            <w:tcW w:type="dxa" w:w="576"/>
          </w:tcPr>
          <w:p>
            <w:r/>
            <w:r>
              <w:rPr>
                <w:b w:val="0"/>
                <w:sz w:val="18"/>
              </w:rPr>
              <w:t>1</w:t>
            </w:r>
          </w:p>
        </w:tc>
        <w:tc>
          <w:tcPr>
            <w:tcW w:type="dxa" w:w="2448"/>
          </w:tcPr>
          <w:p>
            <w:r/>
            <w:r>
              <w:rPr>
                <w:b w:val="0"/>
                <w:sz w:val="18"/>
              </w:rPr>
              <w:t>Dry-pool drone-ship recovery (BLK3) — world-first</w:t>
            </w:r>
          </w:p>
        </w:tc>
        <w:tc>
          <w:tcPr>
            <w:tcW w:type="dxa" w:w="1296"/>
          </w:tcPr>
          <w:p>
            <w:r/>
            <w:r>
              <w:rPr>
                <w:b w:val="0"/>
                <w:sz w:val="18"/>
              </w:rPr>
              <w:t>Very high</w:t>
            </w:r>
          </w:p>
        </w:tc>
        <w:tc>
          <w:tcPr>
            <w:tcW w:type="dxa" w:w="1296"/>
          </w:tcPr>
          <w:p>
            <w:r/>
            <w:r>
              <w:rPr>
                <w:b w:val="0"/>
                <w:sz w:val="18"/>
              </w:rPr>
              <w:t>High</w:t>
            </w:r>
          </w:p>
        </w:tc>
        <w:tc>
          <w:tcPr>
            <w:tcW w:type="dxa" w:w="1152"/>
          </w:tcPr>
          <w:p>
            <w:r/>
            <w:r>
              <w:rPr>
                <w:b w:val="0"/>
                <w:sz w:val="18"/>
              </w:rPr>
              <w:t>~18–30 mo</w:t>
            </w:r>
          </w:p>
        </w:tc>
        <w:tc>
          <w:tcPr>
            <w:tcW w:type="dxa" w:w="1296"/>
          </w:tcPr>
          <w:p>
            <w:r/>
            <w:r>
              <w:rPr>
                <w:b w:val="0"/>
                <w:sz w:val="18"/>
              </w:rPr>
              <w:t>High (vehicle side + IP)</w:t>
            </w:r>
          </w:p>
        </w:tc>
        <w:tc>
          <w:tcPr>
            <w:tcW w:type="dxa" w:w="1872"/>
          </w:tcPr>
          <w:p>
            <w:r/>
            <w:r>
              <w:rPr>
                <w:b w:val="0"/>
                <w:sz w:val="18"/>
              </w:rPr>
              <w:t>Novel; sea-state dispersion into a small target</w:t>
            </w:r>
          </w:p>
        </w:tc>
      </w:tr>
      <w:tr>
        <w:tc>
          <w:tcPr>
            <w:tcW w:type="dxa" w:w="576"/>
          </w:tcPr>
          <w:p>
            <w:r/>
            <w:r>
              <w:rPr>
                <w:b w:val="0"/>
                <w:sz w:val="18"/>
              </w:rPr>
              <w:t>2</w:t>
            </w:r>
          </w:p>
        </w:tc>
        <w:tc>
          <w:tcPr>
            <w:tcW w:type="dxa" w:w="2448"/>
          </w:tcPr>
          <w:p>
            <w:r/>
            <w:r>
              <w:rPr>
                <w:b w:val="0"/>
                <w:sz w:val="18"/>
              </w:rPr>
              <w:t>Ocean-as-flame-trench launch vessel (BLK4 Heavy + third parties)</w:t>
            </w:r>
          </w:p>
        </w:tc>
        <w:tc>
          <w:tcPr>
            <w:tcW w:type="dxa" w:w="1296"/>
          </w:tcPr>
          <w:p>
            <w:r/>
            <w:r>
              <w:rPr>
                <w:b w:val="0"/>
                <w:sz w:val="18"/>
              </w:rPr>
              <w:t>Very high (long run)</w:t>
            </w:r>
          </w:p>
        </w:tc>
        <w:tc>
          <w:tcPr>
            <w:tcW w:type="dxa" w:w="1296"/>
          </w:tcPr>
          <w:p>
            <w:r/>
            <w:r>
              <w:rPr>
                <w:b w:val="0"/>
                <w:sz w:val="18"/>
              </w:rPr>
              <w:t>Very high</w:t>
            </w:r>
          </w:p>
        </w:tc>
        <w:tc>
          <w:tcPr>
            <w:tcW w:type="dxa" w:w="1152"/>
          </w:tcPr>
          <w:p>
            <w:r/>
            <w:r>
              <w:rPr>
                <w:b w:val="0"/>
                <w:sz w:val="18"/>
              </w:rPr>
              <w:t>4–6+ yrs</w:t>
            </w:r>
          </w:p>
        </w:tc>
        <w:tc>
          <w:tcPr>
            <w:tcW w:type="dxa" w:w="1296"/>
          </w:tcPr>
          <w:p>
            <w:r/>
            <w:r>
              <w:rPr>
                <w:b w:val="0"/>
                <w:sz w:val="18"/>
              </w:rPr>
              <w:t>Medium</w:t>
            </w:r>
          </w:p>
        </w:tc>
        <w:tc>
          <w:tcPr>
            <w:tcW w:type="dxa" w:w="1872"/>
          </w:tcPr>
          <w:p>
            <w:r/>
            <w:r>
              <w:rPr>
                <w:b w:val="0"/>
                <w:sz w:val="18"/>
              </w:rPr>
              <w:t>Capital; BLK4 Heavy not yet funded</w:t>
            </w:r>
          </w:p>
        </w:tc>
      </w:tr>
      <w:tr>
        <w:tc>
          <w:tcPr>
            <w:tcW w:type="dxa" w:w="576"/>
          </w:tcPr>
          <w:p>
            <w:r/>
            <w:r>
              <w:rPr>
                <w:b w:val="0"/>
                <w:sz w:val="18"/>
              </w:rPr>
              <w:t>3</w:t>
            </w:r>
          </w:p>
        </w:tc>
        <w:tc>
          <w:tcPr>
            <w:tcW w:type="dxa" w:w="2448"/>
          </w:tcPr>
          <w:p>
            <w:r/>
            <w:r>
              <w:rPr>
                <w:b w:val="0"/>
                <w:sz w:val="18"/>
              </w:rPr>
              <w:t>Recovery-as-a-Service JV for Japanese launchers</w:t>
            </w:r>
          </w:p>
        </w:tc>
        <w:tc>
          <w:tcPr>
            <w:tcW w:type="dxa" w:w="1296"/>
          </w:tcPr>
          <w:p>
            <w:r/>
            <w:r>
              <w:rPr>
                <w:b w:val="0"/>
                <w:sz w:val="18"/>
              </w:rPr>
              <w:t>High</w:t>
            </w:r>
          </w:p>
        </w:tc>
        <w:tc>
          <w:tcPr>
            <w:tcW w:type="dxa" w:w="1296"/>
          </w:tcPr>
          <w:p>
            <w:r/>
            <w:r>
              <w:rPr>
                <w:b w:val="0"/>
                <w:sz w:val="18"/>
              </w:rPr>
              <w:t>Medium–high (recurring)</w:t>
            </w:r>
          </w:p>
        </w:tc>
        <w:tc>
          <w:tcPr>
            <w:tcW w:type="dxa" w:w="1152"/>
          </w:tcPr>
          <w:p>
            <w:r/>
            <w:r>
              <w:rPr>
                <w:b w:val="0"/>
                <w:sz w:val="18"/>
              </w:rPr>
              <w:t>~3 yrs</w:t>
            </w:r>
          </w:p>
        </w:tc>
        <w:tc>
          <w:tcPr>
            <w:tcW w:type="dxa" w:w="1296"/>
          </w:tcPr>
          <w:p>
            <w:r/>
            <w:r>
              <w:rPr>
                <w:b w:val="0"/>
                <w:sz w:val="18"/>
              </w:rPr>
              <w:t>Medium</w:t>
            </w:r>
          </w:p>
        </w:tc>
        <w:tc>
          <w:tcPr>
            <w:tcW w:type="dxa" w:w="1872"/>
          </w:tcPr>
          <w:p>
            <w:r/>
            <w:r>
              <w:rPr>
                <w:b w:val="0"/>
                <w:sz w:val="18"/>
              </w:rPr>
              <w:t>Needs #1 or #4 proof first</w:t>
            </w:r>
          </w:p>
        </w:tc>
      </w:tr>
      <w:tr>
        <w:tc>
          <w:tcPr>
            <w:tcW w:type="dxa" w:w="576"/>
          </w:tcPr>
          <w:p>
            <w:r/>
            <w:r>
              <w:rPr>
                <w:b w:val="0"/>
                <w:sz w:val="18"/>
              </w:rPr>
              <w:t>4</w:t>
            </w:r>
          </w:p>
        </w:tc>
        <w:tc>
          <w:tcPr>
            <w:tcW w:type="dxa" w:w="2448"/>
          </w:tcPr>
          <w:p>
            <w:r/>
            <w:r>
              <w:rPr>
                <w:b w:val="0"/>
                <w:sz w:val="18"/>
              </w:rPr>
              <w:t>HOSPO first launch: reentry + shore landing (BLK3)</w:t>
            </w:r>
          </w:p>
        </w:tc>
        <w:tc>
          <w:tcPr>
            <w:tcW w:type="dxa" w:w="1296"/>
          </w:tcPr>
          <w:p>
            <w:r/>
            <w:r>
              <w:rPr>
                <w:b w:val="0"/>
                <w:sz w:val="18"/>
              </w:rPr>
              <w:t>High (gating proof)</w:t>
            </w:r>
          </w:p>
        </w:tc>
        <w:tc>
          <w:tcPr>
            <w:tcW w:type="dxa" w:w="1296"/>
          </w:tcPr>
          <w:p>
            <w:r/>
            <w:r>
              <w:rPr>
                <w:b w:val="0"/>
                <w:sz w:val="18"/>
              </w:rPr>
              <w:t>Medium</w:t>
            </w:r>
          </w:p>
        </w:tc>
        <w:tc>
          <w:tcPr>
            <w:tcW w:type="dxa" w:w="1152"/>
          </w:tcPr>
          <w:p>
            <w:r/>
            <w:r>
              <w:rPr>
                <w:b w:val="0"/>
                <w:sz w:val="18"/>
              </w:rPr>
              <w:t>~12–18 mo</w:t>
            </w:r>
          </w:p>
        </w:tc>
        <w:tc>
          <w:tcPr>
            <w:tcW w:type="dxa" w:w="1296"/>
          </w:tcPr>
          <w:p>
            <w:r/>
            <w:r>
              <w:rPr>
                <w:b w:val="0"/>
                <w:sz w:val="18"/>
              </w:rPr>
              <w:t>High</w:t>
            </w:r>
          </w:p>
        </w:tc>
        <w:tc>
          <w:tcPr>
            <w:tcW w:type="dxa" w:w="1872"/>
          </w:tcPr>
          <w:p>
            <w:r/>
            <w:r>
              <w:rPr>
                <w:b w:val="0"/>
                <w:sz w:val="18"/>
              </w:rPr>
              <w:t>ITAR license timing; site approvals</w:t>
            </w:r>
          </w:p>
        </w:tc>
      </w:tr>
      <w:tr>
        <w:tc>
          <w:tcPr>
            <w:tcW w:type="dxa" w:w="576"/>
          </w:tcPr>
          <w:p>
            <w:r/>
            <w:r>
              <w:rPr>
                <w:b w:val="0"/>
                <w:sz w:val="18"/>
              </w:rPr>
              <w:t>5</w:t>
            </w:r>
          </w:p>
        </w:tc>
        <w:tc>
          <w:tcPr>
            <w:tcW w:type="dxa" w:w="2448"/>
          </w:tcPr>
          <w:p>
            <w:r/>
            <w:r>
              <w:rPr>
                <w:b w:val="0"/>
                <w:sz w:val="18"/>
              </w:rPr>
              <w:t>BLK3 mobile sea launch from NYK vessel</w:t>
            </w:r>
          </w:p>
        </w:tc>
        <w:tc>
          <w:tcPr>
            <w:tcW w:type="dxa" w:w="1296"/>
          </w:tcPr>
          <w:p>
            <w:r/>
            <w:r>
              <w:rPr>
                <w:b w:val="0"/>
                <w:sz w:val="18"/>
              </w:rPr>
              <w:t>Medium</w:t>
            </w:r>
          </w:p>
        </w:tc>
        <w:tc>
          <w:tcPr>
            <w:tcW w:type="dxa" w:w="1296"/>
          </w:tcPr>
          <w:p>
            <w:r/>
            <w:r>
              <w:rPr>
                <w:b w:val="0"/>
                <w:sz w:val="18"/>
              </w:rPr>
              <w:t>Medium</w:t>
            </w:r>
          </w:p>
        </w:tc>
        <w:tc>
          <w:tcPr>
            <w:tcW w:type="dxa" w:w="1152"/>
          </w:tcPr>
          <w:p>
            <w:r/>
            <w:r>
              <w:rPr>
                <w:b w:val="0"/>
                <w:sz w:val="18"/>
              </w:rPr>
              <w:t>~3 yrs</w:t>
            </w:r>
          </w:p>
        </w:tc>
        <w:tc>
          <w:tcPr>
            <w:tcW w:type="dxa" w:w="1296"/>
          </w:tcPr>
          <w:p>
            <w:r/>
            <w:r>
              <w:rPr>
                <w:b w:val="0"/>
                <w:sz w:val="18"/>
              </w:rPr>
              <w:t>Medium</w:t>
            </w:r>
          </w:p>
        </w:tc>
        <w:tc>
          <w:tcPr>
            <w:tcW w:type="dxa" w:w="1872"/>
          </w:tcPr>
          <w:p>
            <w:r/>
            <w:r>
              <w:rPr>
                <w:b w:val="0"/>
                <w:sz w:val="18"/>
              </w:rPr>
              <w:t>Platform motion; range/licensing at sea</w:t>
            </w:r>
          </w:p>
        </w:tc>
      </w:tr>
      <w:tr>
        <w:tc>
          <w:tcPr>
            <w:tcW w:type="dxa" w:w="576"/>
          </w:tcPr>
          <w:p>
            <w:r/>
            <w:r>
              <w:rPr>
                <w:b w:val="0"/>
                <w:sz w:val="18"/>
              </w:rPr>
              <w:t>6</w:t>
            </w:r>
          </w:p>
        </w:tc>
        <w:tc>
          <w:tcPr>
            <w:tcW w:type="dxa" w:w="2448"/>
          </w:tcPr>
          <w:p>
            <w:r/>
            <w:r>
              <w:rPr>
                <w:b w:val="0"/>
                <w:sz w:val="18"/>
              </w:rPr>
              <w:t>NYK as exclusive space-logistics carrier (TX→Japan, Italy)</w:t>
            </w:r>
          </w:p>
        </w:tc>
        <w:tc>
          <w:tcPr>
            <w:tcW w:type="dxa" w:w="1296"/>
          </w:tcPr>
          <w:p>
            <w:r/>
            <w:r>
              <w:rPr>
                <w:b w:val="0"/>
                <w:sz w:val="18"/>
              </w:rPr>
              <w:t>Medium</w:t>
            </w:r>
          </w:p>
        </w:tc>
        <w:tc>
          <w:tcPr>
            <w:tcW w:type="dxa" w:w="1296"/>
          </w:tcPr>
          <w:p>
            <w:r/>
            <w:r>
              <w:rPr>
                <w:b w:val="0"/>
                <w:sz w:val="18"/>
              </w:rPr>
              <w:t>Low (cost saver)</w:t>
            </w:r>
          </w:p>
        </w:tc>
        <w:tc>
          <w:tcPr>
            <w:tcW w:type="dxa" w:w="1152"/>
          </w:tcPr>
          <w:p>
            <w:r/>
            <w:r>
              <w:rPr>
                <w:b w:val="0"/>
                <w:sz w:val="18"/>
              </w:rPr>
              <w:t>Next shipment</w:t>
            </w:r>
          </w:p>
        </w:tc>
        <w:tc>
          <w:tcPr>
            <w:tcW w:type="dxa" w:w="1296"/>
          </w:tcPr>
          <w:p>
            <w:r/>
            <w:r>
              <w:rPr>
                <w:b w:val="0"/>
                <w:sz w:val="18"/>
              </w:rPr>
              <w:t>High</w:t>
            </w:r>
          </w:p>
        </w:tc>
        <w:tc>
          <w:tcPr>
            <w:tcW w:type="dxa" w:w="1872"/>
          </w:tcPr>
          <w:p>
            <w:r/>
            <w:r>
              <w:rPr>
                <w:b w:val="0"/>
                <w:sz w:val="18"/>
              </w:rPr>
              <w:t>ITAR license per shipment</w:t>
            </w:r>
          </w:p>
        </w:tc>
      </w:tr>
    </w:tbl>
    <w:p>
      <w:pPr>
        <w:spacing w:after="40"/>
      </w:pPr>
    </w:p>
    <w:p>
      <w:pPr>
        <w:spacing w:after="100"/>
      </w:pPr>
      <w:r>
        <w:rPr>
          <w:i/>
          <w:sz w:val="18"/>
        </w:rPr>
        <w:t>Ranking = strategic potential (uniqueness × value × fit with NYK’s funded program). Execution order is different: see Section 5. Time-to-proof figures are Exos planning estimates, not commitments, and assume BLK3 first flight in early 2027 at Spaceport America.</w:t>
      </w:r>
    </w:p>
    <w:p>
      <w:pPr>
        <w:spacing w:before="200" w:after="80"/>
      </w:pPr>
      <w:r>
        <w:rPr>
          <w:b/>
          <w:color w:val="0B2A4A"/>
          <w:sz w:val="22"/>
        </w:rPr>
        <w:t>Option 1 — Dry-pool drone-ship recovery (BLK3): be first</w:t>
      </w:r>
    </w:p>
    <w:p>
      <w:pPr>
        <w:spacing w:after="100"/>
      </w:pPr>
      <w:r>
        <w:rPr>
          <w:i w:val="0"/>
        </w:rPr>
        <w:t>Concept: BLK3 returns under its drogue + main canopy and descends into a contained, fresh-water (or foam/cushion) basin carried on an uncrewed NYK vessel — or slung between a small group of drone ships. The basin absorbs the landing, the vehicle never contacts seawater, and the vessel safes and secures it remotely.</w:t>
      </w:r>
    </w:p>
    <w:p>
      <w:pPr>
        <w:pStyle w:val="ListBullet"/>
        <w:spacing w:after="40"/>
      </w:pPr>
      <w:r>
        <w:rPr>
          <w:b/>
        </w:rPr>
        <w:t>Why it matters.</w:t>
      </w:r>
      <w:r>
        <w:t xml:space="preserve"> Seawater is what drives refurbishment cost in water recovery; Rocket Lab built its helicopter-catch program specifically to keep Electron out of salt water (https://spaceflightnow.com/2020/11/05/rocket-lab-to-attempt-booster-recovery-on-next-mission, 2020 — still its stated rationale). A basin gives water-landing softness without the salt.</w:t>
      </w:r>
    </w:p>
    <w:p>
      <w:pPr>
        <w:pStyle w:val="ListBullet"/>
        <w:spacing w:after="40"/>
      </w:pPr>
      <w:r>
        <w:rPr>
          <w:b/>
        </w:rPr>
        <w:t>Fit with NYK.</w:t>
      </w:r>
      <w:r>
        <w:t xml:space="preserve"> Lands squarely on NYK’s SSF scope items: fixed-point capture, securing, residual-propellant discharge, remote ops. NYK gets its first real vehicle; Exos gets a recovery mode no U.S. competitor has.</w:t>
      </w:r>
    </w:p>
    <w:p>
      <w:pPr>
        <w:pStyle w:val="ListBullet"/>
        <w:spacing w:after="40"/>
      </w:pPr>
      <w:r>
        <w:rPr>
          <w:b/>
        </w:rPr>
        <w:t>Variants.</w:t>
      </w:r>
      <w:r>
        <w:t xml:space="preserve"> Variants to put in the study: (a) on-deck basin on one large, sea-kindly hull (answers the ClassNK rough-sea point); (b) 4–6 drone ships holding an inflatable-boom ‘pool’ (~150 m) — the concept already floated with Honda on 10/13, but note a boom pool alone is still seawater unless it carries a liner or bladder; (c) net/airbag catch deck as a fallback.</w:t>
      </w:r>
    </w:p>
    <w:p>
      <w:pPr>
        <w:pStyle w:val="ListBullet"/>
        <w:spacing w:after="40"/>
      </w:pPr>
      <w:r>
        <w:rPr>
          <w:b/>
        </w:rPr>
        <w:t>‘First’ claim.</w:t>
      </w:r>
      <w:r>
        <w:t xml:space="preserve"> We found no public record of a launch vehicle recovered into a water basin on a vessel. Treat ‘world first’ as unverified until a patent / prior-art search confirms it — do not use the phrase externally yet.</w:t>
      </w:r>
    </w:p>
    <w:p>
      <w:pPr>
        <w:pStyle w:val="ListBullet"/>
        <w:spacing w:after="40"/>
      </w:pPr>
      <w:r>
        <w:rPr>
          <w:b/>
        </w:rPr>
        <w:t>Hard part.</w:t>
      </w:r>
      <w:r>
        <w:t xml:space="preserve"> Landing dispersion under canopy vs. basin size; vessel motion; wind at descent. Phase 1 study must size the basin against BLK3 dispersion data before anyone promises a date.</w:t>
      </w:r>
    </w:p>
    <w:p>
      <w:pPr>
        <w:pStyle w:val="ListBullet"/>
        <w:spacing w:after="40"/>
      </w:pPr>
      <w:r>
        <w:rPr>
          <w:b/>
        </w:rPr>
        <w:t>Payload angle.</w:t>
      </w:r>
      <w:r>
        <w:t xml:space="preserve"> Payload return in minutes is already an Exos strength; a dry recovery keeps it true at sea.</w:t>
      </w:r>
    </w:p>
    <w:p>
      <w:pPr>
        <w:spacing w:before="200" w:after="80"/>
      </w:pPr>
      <w:r>
        <w:rPr>
          <w:b/>
          <w:color w:val="0B2A4A"/>
          <w:sz w:val="22"/>
        </w:rPr>
        <w:t>Option 2 — Ocean as the flame trench: an NYK launch vessel for orbital</w:t>
      </w:r>
    </w:p>
    <w:p>
      <w:pPr>
        <w:spacing w:after="100"/>
      </w:pPr>
      <w:r>
        <w:rPr>
          <w:i w:val="0"/>
        </w:rPr>
        <w:t>Concept: NYK modifies a barge, semi-submersible or twin-hull vessel so the launch mount sits over open water. The plume goes straight down into the sea — no concrete flame trench, no deflector to rebuild, and an unlimited deluge supply pumped from the ocean. The same hull family can later carry the recovery basin from Option 1, so one fleet launches and recovers.</w:t>
      </w:r>
    </w:p>
    <w:p>
      <w:pPr>
        <w:spacing w:after="100"/>
      </w:pPr>
      <w:r>
        <w:rPr>
          <w:i w:val="0"/>
        </w:rPr>
        <w:t>Design changes we would ask NYK to study (engineering hypotheses, not validated):</w:t>
      </w:r>
    </w:p>
    <w:p>
      <w:pPr>
        <w:pStyle w:val="ListBullet"/>
        <w:spacing w:after="40"/>
      </w:pPr>
      <w:r>
        <w:rPr>
          <w:b/>
        </w:rPr>
        <w:t>Open-water flame duct.</w:t>
      </w:r>
      <w:r>
        <w:t xml:space="preserve"> Twin-hull (catamaran) or open-stern ‘moon pool’ layout with the mount bridging the gap, so exhaust exits between hulls instead of hitting the deck.</w:t>
      </w:r>
    </w:p>
    <w:p>
      <w:pPr>
        <w:pStyle w:val="ListBullet"/>
        <w:spacing w:after="40"/>
      </w:pPr>
      <w:r>
        <w:rPr>
          <w:b/>
        </w:rPr>
        <w:t>Launch draft.</w:t>
      </w:r>
      <w:r>
        <w:t xml:space="preserve"> Ballast down to a stable, semi-submerged launch draft for liftoff (the way the Odyssey platform worked), then de-ballast for transit.</w:t>
      </w:r>
    </w:p>
    <w:p>
      <w:pPr>
        <w:pStyle w:val="ListBullet"/>
        <w:spacing w:after="40"/>
      </w:pPr>
      <w:r>
        <w:rPr>
          <w:b/>
        </w:rPr>
        <w:t>Acoustics &amp; heat.</w:t>
      </w:r>
      <w:r>
        <w:t xml:space="preserve"> Ocean-fed water deluge for acoustic suppression; blast shielding and thermal protection for deck equipment (Rocket Lab is fitting both on its barge — https://www.bollingershipyards.com/news/rocket-lab-selects-bollinger-shipyards-to-support-modification-of-neutron-landing-platform).</w:t>
      </w:r>
    </w:p>
    <w:p>
      <w:pPr>
        <w:pStyle w:val="ListBullet"/>
        <w:spacing w:after="40"/>
      </w:pPr>
      <w:r>
        <w:rPr>
          <w:b/>
        </w:rPr>
        <w:t>Risks to test.</w:t>
      </w:r>
      <w:r>
        <w:t xml:space="preserve"> Plume-driven spray and steam, acoustic reflection off the water, liftoff loads on a moving deck, and salt spray on the vehicle before launch.</w:t>
      </w:r>
    </w:p>
    <w:p>
      <w:pPr>
        <w:spacing w:after="100"/>
      </w:pPr>
      <w:r>
        <w:rPr>
          <w:i w:val="0"/>
        </w:rPr>
        <w:t>Evidence the market is moving this way:</w:t>
      </w:r>
    </w:p>
    <w:p>
      <w:pPr>
        <w:pStyle w:val="ListBullet"/>
        <w:spacing w:after="40"/>
      </w:pPr>
      <w:r>
        <w:rPr>
          <w:b/>
        </w:rPr>
        <w:t>U.S.:</w:t>
      </w:r>
      <w:r>
        <w:t xml:space="preserve"> Seagate Space’s uncrewed semi-submersible launch platform received the first ABS Approval in Principle under ABS’s new offshore-spaceport requirements (https://seagatespace.com/abs-approves-seagate-spaces-modular-offshore-launch-platform); MOU with Firefly for Alpha (Apr 6, 2026: https://spacenews.com/seagate-space-signs-mou-with-firefly-aerospace-to-collaborate-on-offshore-launch-infrastructure-for-alpha); MOU with Oceaneering, first missions targeted as early as 2027 (https://spacenews.com/seagate-space-and-oceaneering-join-forces-to-build-the-future-of-offshore-launch-infrastructure).</w:t>
      </w:r>
    </w:p>
    <w:p>
      <w:pPr>
        <w:pStyle w:val="ListBullet"/>
        <w:spacing w:after="40"/>
      </w:pPr>
      <w:r>
        <w:rPr>
          <w:b/>
        </w:rPr>
        <w:t>China:</w:t>
      </w:r>
      <w:r>
        <w:t xml:space="preserve"> China flies orbital rockets from converted barges in the Yellow Sea and is building a dedicated launch ship (https://www.space.com/china-building-ship-rocket-launches-at-sea).</w:t>
      </w:r>
    </w:p>
    <w:p>
      <w:pPr>
        <w:pStyle w:val="ListBullet"/>
        <w:spacing w:after="40"/>
      </w:pPr>
      <w:r>
        <w:rPr>
          <w:b/>
        </w:rPr>
        <w:t>Cautionary:</w:t>
      </w:r>
      <w:r>
        <w:t xml:space="preserve"> SpaceX dropped its plan to convert two oil rigs into Starship platforms (https://spacenews.com/spacex-drops-plans-to-covert-oil-rigs-into-launch-platforms) — proof this is hard at super-heavy scale and a reason to start at BLK3/BLK4 scale.</w:t>
      </w:r>
    </w:p>
    <w:p>
      <w:pPr>
        <w:pStyle w:val="ListBullet"/>
        <w:spacing w:after="40"/>
      </w:pPr>
      <w:r>
        <w:rPr>
          <w:b/>
        </w:rPr>
        <w:t>Historical:</w:t>
      </w:r>
      <w:r>
        <w:t xml:space="preserve"> Sea Launch’s Odyssey lost its flame deflector in a 2007 launch failure (https://www.satellitetoday.com/finance/2007/02/12/sea-launch-assesses-damage-to-launch-platform, historical) — the open-water duct removes that single point of failure.</w:t>
      </w:r>
    </w:p>
    <w:p>
      <w:pPr>
        <w:pStyle w:val="ListBullet"/>
        <w:spacing w:after="40"/>
      </w:pPr>
      <w:r>
        <w:rPr>
          <w:b/>
        </w:rPr>
        <w:t>Exos framing.</w:t>
      </w:r>
      <w:r>
        <w:t xml:space="preserve"> BLK4 Heavy (three BLK4 cores) is Exos’s planned, capital-gated orbital path — never present it as built or funded. The pitch to NYK: a vessel class that serves Japan’s orbital launchers too, with Exos as launch operator / anchor tenant.</w:t>
      </w:r>
    </w:p>
    <w:p>
      <w:pPr>
        <w:pStyle w:val="ListBullet"/>
        <w:spacing w:after="40"/>
      </w:pPr>
      <w:r>
        <w:rPr>
          <w:b/>
        </w:rPr>
        <w:t>Why Japan cares.</w:t>
      </w:r>
      <w:r>
        <w:t xml:space="preserve"> Japan is short on launch sites; a vessel that launches from open ocean adds sites, inclinations and range flexibility without new coastline. (Our inference — validate with NYK and JAXA on Oct 28.)</w:t>
      </w:r>
    </w:p>
    <w:p>
      <w:pPr>
        <w:spacing w:before="200" w:after="80"/>
      </w:pPr>
      <w:r>
        <w:rPr>
          <w:b/>
          <w:color w:val="0B2A4A"/>
          <w:sz w:val="22"/>
        </w:rPr>
        <w:t>Option 3 — Recovery-as-a-Service JV for Japanese launchers</w:t>
      </w:r>
    </w:p>
    <w:p>
      <w:pPr>
        <w:spacing w:after="100"/>
      </w:pPr>
      <w:r>
        <w:rPr>
          <w:i w:val="0"/>
        </w:rPr>
        <w:t>NYK owns and runs the vessels; Exos supplies the operator procedures, vehicle-interface standards, recovery-on-anomaly (drogue + canopy) hardware and safing know-how. Customers: JAXA’s reusable program and Japanese developers such as Honda, which flew and landed a reusable test rocket at Taiki in June 2025 (https://global.honda/en/topics/2025/c_2025-06-17ceng.html). Recurring revenue per recovery. Needs Option 1 or 4 as proof first. Requires a TAA, and must not cut across the Honda track (Honda uses its own landing-ship arrangement).</w:t>
      </w:r>
    </w:p>
    <w:p>
      <w:pPr>
        <w:spacing w:before="200" w:after="80"/>
      </w:pPr>
      <w:r>
        <w:rPr>
          <w:b/>
          <w:color w:val="0B2A4A"/>
          <w:sz w:val="22"/>
        </w:rPr>
        <w:t>Option 4 — HOSPO first launch: reentry and shore landing (the proof)</w:t>
      </w:r>
    </w:p>
    <w:p>
      <w:pPr>
        <w:spacing w:after="100"/>
      </w:pPr>
      <w:r>
        <w:rPr>
          <w:i w:val="0"/>
        </w:rPr>
        <w:t>NYK ships BLK3 and its GSE Texas → Hokkaido; BLK3 flies from HOSPO, Taiki, on the Pacific coast (https://hokkaidospaceport.com/), reenters and lands under canopy on shore or in the near-shore zone. NYK’s team runs securing, safing and remote-operation steps on a real vehicle. Outcome: Exos is the first vehicle NYK recovers, NYK gets procedure data for SSF, and both get a public milestone in Japan.</w:t>
      </w:r>
    </w:p>
    <w:p>
      <w:pPr>
        <w:pStyle w:val="ListBullet"/>
        <w:spacing w:after="40"/>
      </w:pPr>
      <w:r>
        <w:rPr>
          <w:b/>
        </w:rPr>
        <w:t>Timing guardrail.</w:t>
      </w:r>
      <w:r>
        <w:t xml:space="preserve"> Early 2027 first campaign is at Spaceport America; a Japan campaign follows after that and after export licensing. Pick the window in the Phase 1 study, not on Oct 28.</w:t>
      </w:r>
    </w:p>
    <w:p>
      <w:pPr>
        <w:pStyle w:val="ListBullet"/>
        <w:spacing w:after="40"/>
      </w:pPr>
      <w:r>
        <w:rPr>
          <w:b/>
        </w:rPr>
        <w:t>What it buys.</w:t>
      </w:r>
      <w:r>
        <w:t xml:space="preserve"> Proves end to end: ocean shipping, Japan site ops, reentry, recovery and safing — every building block of Options 1–3.</w:t>
      </w:r>
    </w:p>
    <w:p>
      <w:pPr>
        <w:spacing w:before="200" w:after="80"/>
      </w:pPr>
      <w:r>
        <w:rPr>
          <w:b/>
          <w:color w:val="0B2A4A"/>
          <w:sz w:val="22"/>
        </w:rPr>
        <w:t>Option 5 — BLK3 mobile sea launch</w:t>
      </w:r>
    </w:p>
    <w:p>
      <w:pPr>
        <w:spacing w:after="100"/>
      </w:pPr>
      <w:r>
        <w:rPr>
          <w:i w:val="0"/>
        </w:rPr>
        <w:t>Launch BLK3 itself from an NYK vessel — responsive launches for hypersonic and defense test work, and access to new trajectories. Seagate positions its Firefly platform for exactly these missions (https://spacenews.com/seagate-space-signs-mou-with-firefly-aerospace-to-collaborate-on-offshore-launch-infrastructure-for-alpha). Smaller prize than Option 2 but a useful stepping stone onto the same hull. FAA licensing and range safety at sea need separate work.</w:t>
      </w:r>
    </w:p>
    <w:p>
      <w:pPr>
        <w:spacing w:before="200" w:after="80"/>
      </w:pPr>
      <w:r>
        <w:rPr>
          <w:b/>
          <w:color w:val="0B2A4A"/>
          <w:sz w:val="22"/>
        </w:rPr>
        <w:t>Option 6 — NYK as exclusive space-logistics carrier</w:t>
      </w:r>
    </w:p>
    <w:p>
      <w:pPr>
        <w:spacing w:after="100"/>
      </w:pPr>
      <w:r>
        <w:rPr>
          <w:i w:val="0"/>
        </w:rPr>
        <w:t>NYK as preferred ocean carrier for BLK3/GSE to Japan and, later, the Sardinia option (internal). Saves cost and builds the relationship; each shipment needs its own ITAR license. Already in motion (OPP-636).</w:t>
      </w:r>
    </w:p>
    <w:p>
      <w:pPr>
        <w:spacing w:before="200" w:after="80"/>
      </w:pPr>
      <w:r>
        <w:rPr>
          <w:b/>
          <w:color w:val="0B2A4A"/>
          <w:sz w:val="25"/>
        </w:rPr>
        <w:t>4. Strategic logic — why lead with #1, prove with #4, sell #2</w:t>
      </w:r>
    </w:p>
    <w:p>
      <w:pPr>
        <w:pStyle w:val="ListBullet"/>
        <w:spacing w:after="40"/>
      </w:pPr>
      <w:r>
        <w:rPr>
          <w:b/>
        </w:rPr>
        <w:t>Uniqueness.</w:t>
      </w:r>
      <w:r>
        <w:t xml:space="preserve"> #1 is the only option where Exos holds something NYK cannot buy elsewhere — a flying vehicle plus a recovery mode designed around it.</w:t>
      </w:r>
    </w:p>
    <w:p>
      <w:pPr>
        <w:pStyle w:val="ListBullet"/>
        <w:spacing w:after="40"/>
      </w:pPr>
      <w:r>
        <w:rPr>
          <w:b/>
        </w:rPr>
        <w:t>Proof.</w:t>
      </w:r>
      <w:r>
        <w:t xml:space="preserve"> #4 converts talk into a dated, low-risk event and makes Exos ‘first’ in fact, not in slides.</w:t>
      </w:r>
    </w:p>
    <w:p>
      <w:pPr>
        <w:pStyle w:val="ListBullet"/>
        <w:spacing w:after="40"/>
      </w:pPr>
      <w:r>
        <w:rPr>
          <w:b/>
        </w:rPr>
        <w:t>Platform.</w:t>
      </w:r>
      <w:r>
        <w:t xml:space="preserve"> #2 is the long-run platform: one NYK hull family that launches (ocean flame trench) and recovers (dry pool). It turns NYK from a vessel supplier into a launch-infrastructure owner, with Exos as operator.</w:t>
      </w:r>
    </w:p>
    <w:p>
      <w:pPr>
        <w:pStyle w:val="ListBullet"/>
        <w:spacing w:after="40"/>
      </w:pPr>
      <w:r>
        <w:rPr>
          <w:b/>
        </w:rPr>
        <w:t>Fill-in.</w:t>
      </w:r>
      <w:r>
        <w:t xml:space="preserve"> #3, #5, #6 monetize the same assets and keep NYK engaged between flight campaigns.</w:t>
      </w:r>
    </w:p>
    <w:p>
      <w:pPr>
        <w:spacing w:before="200" w:after="80"/>
      </w:pPr>
      <w:r>
        <w:rPr>
          <w:b/>
          <w:color w:val="0B2A4A"/>
          <w:sz w:val="25"/>
        </w:rPr>
        <w:t>5. Execution sequence</w:t>
      </w:r>
    </w:p>
    <w:tbl>
      <w:tblPr>
        <w:tblStyle w:val="LightGrid-Accent1"/>
        <w:tblW w:type="auto" w:w="0"/>
        <w:tblLook w:firstColumn="1" w:firstRow="1" w:lastColumn="0" w:lastRow="0" w:noHBand="0" w:noVBand="1" w:val="04A0"/>
      </w:tblPr>
      <w:tblGrid>
        <w:gridCol w:w="2412"/>
        <w:gridCol w:w="2412"/>
        <w:gridCol w:w="2412"/>
        <w:gridCol w:w="2412"/>
      </w:tblGrid>
      <w:tr>
        <w:tc>
          <w:tcPr>
            <w:tcW w:type="dxa" w:w="576"/>
          </w:tcPr>
          <w:p>
            <w:r/>
            <w:r>
              <w:rPr>
                <w:b/>
                <w:sz w:val="18"/>
              </w:rPr>
              <w:t>Step</w:t>
            </w:r>
          </w:p>
        </w:tc>
        <w:tc>
          <w:tcPr>
            <w:tcW w:type="dxa" w:w="4896"/>
          </w:tcPr>
          <w:p>
            <w:r/>
            <w:r>
              <w:rPr>
                <w:b/>
                <w:sz w:val="18"/>
              </w:rPr>
              <w:t>What</w:t>
            </w:r>
          </w:p>
        </w:tc>
        <w:tc>
          <w:tcPr>
            <w:tcW w:type="dxa" w:w="2160"/>
          </w:tcPr>
          <w:p>
            <w:r/>
            <w:r>
              <w:rPr>
                <w:b/>
                <w:sz w:val="18"/>
              </w:rPr>
              <w:t>Gate / owner</w:t>
            </w:r>
          </w:p>
        </w:tc>
        <w:tc>
          <w:tcPr>
            <w:tcW w:type="dxa" w:w="2016"/>
          </w:tcPr>
          <w:p>
            <w:r/>
            <w:r>
              <w:rPr>
                <w:b/>
                <w:sz w:val="18"/>
              </w:rPr>
              <w:t>Target</w:t>
            </w:r>
          </w:p>
        </w:tc>
      </w:tr>
      <w:tr>
        <w:tc>
          <w:tcPr>
            <w:tcW w:type="dxa" w:w="576"/>
          </w:tcPr>
          <w:p>
            <w:r/>
            <w:r>
              <w:rPr>
                <w:b w:val="0"/>
                <w:sz w:val="18"/>
              </w:rPr>
              <w:t>0</w:t>
            </w:r>
          </w:p>
        </w:tc>
        <w:tc>
          <w:tcPr>
            <w:tcW w:type="dxa" w:w="4896"/>
          </w:tcPr>
          <w:p>
            <w:r/>
            <w:r>
              <w:rPr>
                <w:b w:val="0"/>
                <w:sz w:val="18"/>
              </w:rPr>
              <w:t>Provisional patent: dry-pool recovery + open-water flame-duct vessel</w:t>
            </w:r>
          </w:p>
        </w:tc>
        <w:tc>
          <w:tcPr>
            <w:tcW w:type="dxa" w:w="2160"/>
          </w:tcPr>
          <w:p>
            <w:r/>
            <w:r>
              <w:rPr>
                <w:b w:val="0"/>
                <w:sz w:val="18"/>
              </w:rPr>
              <w:t>Exos / Counsel</w:t>
            </w:r>
          </w:p>
        </w:tc>
        <w:tc>
          <w:tcPr>
            <w:tcW w:type="dxa" w:w="2016"/>
          </w:tcPr>
          <w:p>
            <w:r/>
            <w:r>
              <w:rPr>
                <w:b w:val="0"/>
                <w:sz w:val="18"/>
              </w:rPr>
              <w:t>Before design-level disclosure</w:t>
            </w:r>
          </w:p>
        </w:tc>
      </w:tr>
      <w:tr>
        <w:tc>
          <w:tcPr>
            <w:tcW w:type="dxa" w:w="576"/>
          </w:tcPr>
          <w:p>
            <w:r/>
            <w:r>
              <w:rPr>
                <w:b w:val="0"/>
                <w:sz w:val="18"/>
              </w:rPr>
              <w:t>1</w:t>
            </w:r>
          </w:p>
        </w:tc>
        <w:tc>
          <w:tcPr>
            <w:tcW w:type="dxa" w:w="4896"/>
          </w:tcPr>
          <w:p>
            <w:r/>
            <w:r>
              <w:rPr>
                <w:b w:val="0"/>
                <w:sz w:val="18"/>
              </w:rPr>
              <w:t>Oct 28 meeting: capability-level only; ask NYK’s first-vehicle plans; float #1, #4 and #2 vision</w:t>
            </w:r>
          </w:p>
        </w:tc>
        <w:tc>
          <w:tcPr>
            <w:tcW w:type="dxa" w:w="2160"/>
          </w:tcPr>
          <w:p>
            <w:r/>
            <w:r>
              <w:rPr>
                <w:b w:val="0"/>
                <w:sz w:val="18"/>
              </w:rPr>
              <w:t>Jon</w:t>
            </w:r>
          </w:p>
        </w:tc>
        <w:tc>
          <w:tcPr>
            <w:tcW w:type="dxa" w:w="2016"/>
          </w:tcPr>
          <w:p>
            <w:r/>
            <w:r>
              <w:rPr>
                <w:b w:val="0"/>
                <w:sz w:val="18"/>
              </w:rPr>
              <w:t>Oct 28 JST</w:t>
            </w:r>
          </w:p>
        </w:tc>
      </w:tr>
      <w:tr>
        <w:tc>
          <w:tcPr>
            <w:tcW w:type="dxa" w:w="576"/>
          </w:tcPr>
          <w:p>
            <w:r/>
            <w:r>
              <w:rPr>
                <w:b w:val="0"/>
                <w:sz w:val="18"/>
              </w:rPr>
              <w:t>2</w:t>
            </w:r>
          </w:p>
        </w:tc>
        <w:tc>
          <w:tcPr>
            <w:tcW w:type="dxa" w:w="4896"/>
          </w:tcPr>
          <w:p>
            <w:r/>
            <w:r>
              <w:rPr>
                <w:b w:val="0"/>
                <w:sz w:val="18"/>
              </w:rPr>
              <w:t>MNDA → Strategic Engagement Agreement + down payment (per 10/18 proposal)</w:t>
            </w:r>
          </w:p>
        </w:tc>
        <w:tc>
          <w:tcPr>
            <w:tcW w:type="dxa" w:w="2160"/>
          </w:tcPr>
          <w:p>
            <w:r/>
            <w:r>
              <w:rPr>
                <w:b w:val="0"/>
                <w:sz w:val="18"/>
              </w:rPr>
              <w:t>NYK / Exos</w:t>
            </w:r>
          </w:p>
        </w:tc>
        <w:tc>
          <w:tcPr>
            <w:tcW w:type="dxa" w:w="2016"/>
          </w:tcPr>
          <w:p>
            <w:r/>
            <w:r>
              <w:rPr>
                <w:b w:val="0"/>
                <w:sz w:val="18"/>
              </w:rPr>
              <w:t>[__]</w:t>
            </w:r>
          </w:p>
        </w:tc>
      </w:tr>
      <w:tr>
        <w:tc>
          <w:tcPr>
            <w:tcW w:type="dxa" w:w="576"/>
          </w:tcPr>
          <w:p>
            <w:r/>
            <w:r>
              <w:rPr>
                <w:b w:val="0"/>
                <w:sz w:val="18"/>
              </w:rPr>
              <w:t>3</w:t>
            </w:r>
          </w:p>
        </w:tc>
        <w:tc>
          <w:tcPr>
            <w:tcW w:type="dxa" w:w="4896"/>
          </w:tcPr>
          <w:p>
            <w:r/>
            <w:r>
              <w:rPr>
                <w:b w:val="0"/>
                <w:sz w:val="18"/>
              </w:rPr>
              <w:t>TAA filed (defense services to NYK); per-shipment export licenses</w:t>
            </w:r>
          </w:p>
        </w:tc>
        <w:tc>
          <w:tcPr>
            <w:tcW w:type="dxa" w:w="2160"/>
          </w:tcPr>
          <w:p>
            <w:r/>
            <w:r>
              <w:rPr>
                <w:b w:val="0"/>
                <w:sz w:val="18"/>
              </w:rPr>
              <w:t>EO John Quinn / Denise Shirey</w:t>
            </w:r>
          </w:p>
        </w:tc>
        <w:tc>
          <w:tcPr>
            <w:tcW w:type="dxa" w:w="2016"/>
          </w:tcPr>
          <w:p>
            <w:r/>
            <w:r>
              <w:rPr>
                <w:b w:val="0"/>
                <w:sz w:val="18"/>
              </w:rPr>
              <w:t>File right after SEA</w:t>
            </w:r>
          </w:p>
        </w:tc>
      </w:tr>
      <w:tr>
        <w:tc>
          <w:tcPr>
            <w:tcW w:type="dxa" w:w="576"/>
          </w:tcPr>
          <w:p>
            <w:r/>
            <w:r>
              <w:rPr>
                <w:b w:val="0"/>
                <w:sz w:val="18"/>
              </w:rPr>
              <w:t>4</w:t>
            </w:r>
          </w:p>
        </w:tc>
        <w:tc>
          <w:tcPr>
            <w:tcW w:type="dxa" w:w="4896"/>
          </w:tcPr>
          <w:p>
            <w:r/>
            <w:r>
              <w:rPr>
                <w:b w:val="0"/>
                <w:sz w:val="18"/>
              </w:rPr>
              <w:t>Phase 1 joint study: basin sizing vs. BLK3 dispersion; shore-landing campaign plan; vessel flame-duct concept</w:t>
            </w:r>
          </w:p>
        </w:tc>
        <w:tc>
          <w:tcPr>
            <w:tcW w:type="dxa" w:w="2160"/>
          </w:tcPr>
          <w:p>
            <w:r/>
            <w:r>
              <w:rPr>
                <w:b w:val="0"/>
                <w:sz w:val="18"/>
              </w:rPr>
              <w:t>Joint</w:t>
            </w:r>
          </w:p>
        </w:tc>
        <w:tc>
          <w:tcPr>
            <w:tcW w:type="dxa" w:w="2016"/>
          </w:tcPr>
          <w:p>
            <w:r/>
            <w:r>
              <w:rPr>
                <w:b w:val="0"/>
                <w:sz w:val="18"/>
              </w:rPr>
              <w:t>Starts on TAA approval</w:t>
            </w:r>
          </w:p>
        </w:tc>
      </w:tr>
      <w:tr>
        <w:tc>
          <w:tcPr>
            <w:tcW w:type="dxa" w:w="576"/>
          </w:tcPr>
          <w:p>
            <w:r/>
            <w:r>
              <w:rPr>
                <w:b w:val="0"/>
                <w:sz w:val="18"/>
              </w:rPr>
              <w:t>5</w:t>
            </w:r>
          </w:p>
        </w:tc>
        <w:tc>
          <w:tcPr>
            <w:tcW w:type="dxa" w:w="4896"/>
          </w:tcPr>
          <w:p>
            <w:r/>
            <w:r>
              <w:rPr>
                <w:b w:val="0"/>
                <w:sz w:val="18"/>
              </w:rPr>
              <w:t>HOSPO first launch + shore recovery (Option 4)</w:t>
            </w:r>
          </w:p>
        </w:tc>
        <w:tc>
          <w:tcPr>
            <w:tcW w:type="dxa" w:w="2160"/>
          </w:tcPr>
          <w:p>
            <w:r/>
            <w:r>
              <w:rPr>
                <w:b w:val="0"/>
                <w:sz w:val="18"/>
              </w:rPr>
              <w:t>Exos + NYK + HOSPO</w:t>
            </w:r>
          </w:p>
        </w:tc>
        <w:tc>
          <w:tcPr>
            <w:tcW w:type="dxa" w:w="2016"/>
          </w:tcPr>
          <w:p>
            <w:r/>
            <w:r>
              <w:rPr>
                <w:b w:val="0"/>
                <w:sz w:val="18"/>
              </w:rPr>
              <w:t>After 2027 SA campaign</w:t>
            </w:r>
          </w:p>
        </w:tc>
      </w:tr>
      <w:tr>
        <w:tc>
          <w:tcPr>
            <w:tcW w:type="dxa" w:w="576"/>
          </w:tcPr>
          <w:p>
            <w:r/>
            <w:r>
              <w:rPr>
                <w:b w:val="0"/>
                <w:sz w:val="18"/>
              </w:rPr>
              <w:t>6</w:t>
            </w:r>
          </w:p>
        </w:tc>
        <w:tc>
          <w:tcPr>
            <w:tcW w:type="dxa" w:w="4896"/>
          </w:tcPr>
          <w:p>
            <w:r/>
            <w:r>
              <w:rPr>
                <w:b w:val="0"/>
                <w:sz w:val="18"/>
              </w:rPr>
              <w:t>Dry-pool sea recovery demo (Option 1)</w:t>
            </w:r>
          </w:p>
        </w:tc>
        <w:tc>
          <w:tcPr>
            <w:tcW w:type="dxa" w:w="2160"/>
          </w:tcPr>
          <w:p>
            <w:r/>
            <w:r>
              <w:rPr>
                <w:b w:val="0"/>
                <w:sz w:val="18"/>
              </w:rPr>
              <w:t>Exos + NYK</w:t>
            </w:r>
          </w:p>
        </w:tc>
        <w:tc>
          <w:tcPr>
            <w:tcW w:type="dxa" w:w="2016"/>
          </w:tcPr>
          <w:p>
            <w:r/>
            <w:r>
              <w:rPr>
                <w:b w:val="0"/>
                <w:sz w:val="18"/>
              </w:rPr>
              <w:t>After step 5</w:t>
            </w:r>
          </w:p>
        </w:tc>
      </w:tr>
      <w:tr>
        <w:tc>
          <w:tcPr>
            <w:tcW w:type="dxa" w:w="576"/>
          </w:tcPr>
          <w:p>
            <w:r/>
            <w:r>
              <w:rPr>
                <w:b w:val="0"/>
                <w:sz w:val="18"/>
              </w:rPr>
              <w:t>7</w:t>
            </w:r>
          </w:p>
        </w:tc>
        <w:tc>
          <w:tcPr>
            <w:tcW w:type="dxa" w:w="4896"/>
          </w:tcPr>
          <w:p>
            <w:r/>
            <w:r>
              <w:rPr>
                <w:b w:val="0"/>
                <w:sz w:val="18"/>
              </w:rPr>
              <w:t>Launch-vessel concept + funding path (Option 2), tied to BLK4 Heavy capital</w:t>
            </w:r>
          </w:p>
        </w:tc>
        <w:tc>
          <w:tcPr>
            <w:tcW w:type="dxa" w:w="2160"/>
          </w:tcPr>
          <w:p>
            <w:r/>
            <w:r>
              <w:rPr>
                <w:b w:val="0"/>
                <w:sz w:val="18"/>
              </w:rPr>
              <w:t>Joint</w:t>
            </w:r>
          </w:p>
        </w:tc>
        <w:tc>
          <w:tcPr>
            <w:tcW w:type="dxa" w:w="2016"/>
          </w:tcPr>
          <w:p>
            <w:r/>
            <w:r>
              <w:rPr>
                <w:b w:val="0"/>
                <w:sz w:val="18"/>
              </w:rPr>
              <w:t>Phase 3</w:t>
            </w:r>
          </w:p>
        </w:tc>
      </w:tr>
    </w:tbl>
    <w:p>
      <w:pPr>
        <w:spacing w:after="40"/>
      </w:pPr>
    </w:p>
    <w:p>
      <w:pPr>
        <w:spacing w:before="200" w:after="80"/>
      </w:pPr>
      <w:r>
        <w:rPr>
          <w:b/>
          <w:color w:val="0B2A4A"/>
          <w:sz w:val="25"/>
        </w:rPr>
        <w:t>6. Guardrails</w:t>
      </w:r>
    </w:p>
    <w:p>
      <w:pPr>
        <w:pStyle w:val="ListBullet"/>
        <w:spacing w:after="40"/>
      </w:pPr>
      <w:r>
        <w:rPr>
          <w:b/>
        </w:rPr>
        <w:t>Claims.</w:t>
      </w:r>
      <w:r>
        <w:t xml:space="preserve"> BLK3 has not flown commercially; Exos holds a §431 license (renewed 3/13/26) and is transitioning to Part 450 (https://www.faa.gov/data_research/commercial_space_data/licenses). Never say ‘FAA-licensed BLK3’ bare.</w:t>
      </w:r>
    </w:p>
    <w:p>
      <w:pPr>
        <w:pStyle w:val="ListBullet"/>
        <w:spacing w:after="40"/>
      </w:pPr>
      <w:r>
        <w:rPr>
          <w:b/>
        </w:rPr>
        <w:t>Orbital.</w:t>
      </w:r>
      <w:r>
        <w:t xml:space="preserve"> BLK4 / BLK4 Heavy are in development and capital-gated — describe as the planned orbital path.</w:t>
      </w:r>
    </w:p>
    <w:p>
      <w:pPr>
        <w:pStyle w:val="ListBullet"/>
        <w:spacing w:after="40"/>
      </w:pPr>
      <w:r>
        <w:rPr>
          <w:b/>
        </w:rPr>
        <w:t>Export.</w:t>
      </w:r>
      <w:r>
        <w:t xml:space="preserve"> No technical data, drawings or design-level detail to NYK until the TAA is approved; every shipment is its own license. Export owner = EO John Quinn, reviewer Denise Shirey.</w:t>
      </w:r>
    </w:p>
    <w:p>
      <w:pPr>
        <w:pStyle w:val="ListBullet"/>
        <w:spacing w:after="40"/>
      </w:pPr>
      <w:r>
        <w:rPr>
          <w:b/>
        </w:rPr>
        <w:t>Tracks.</w:t>
      </w:r>
      <w:r>
        <w:t xml:space="preserve"> Japan materials stay on the Japan track; Sardinia stays internal; nothing here goes to SBI/650.</w:t>
      </w:r>
    </w:p>
    <w:p>
      <w:pPr>
        <w:pStyle w:val="ListBullet"/>
        <w:spacing w:after="40"/>
      </w:pPr>
      <w:r>
        <w:rPr>
          <w:b/>
        </w:rPr>
        <w:t>Commercial.</w:t>
      </w:r>
      <w:r>
        <w:t xml:space="preserve"> No free flights — the first recovery is a paid, reserved position.</w:t>
      </w:r>
    </w:p>
    <w:p>
      <w:pPr>
        <w:spacing w:before="200" w:after="80"/>
      </w:pPr>
      <w:r>
        <w:rPr>
          <w:b/>
          <w:color w:val="0B2A4A"/>
          <w:sz w:val="25"/>
        </w:rPr>
        <w:t>7. Questions to ask NYK on Oct 28</w:t>
      </w:r>
    </w:p>
    <w:p>
      <w:pPr>
        <w:pStyle w:val="ListBullet"/>
        <w:spacing w:after="40"/>
      </w:pPr>
      <w:r>
        <w:t xml:space="preserve"> Which vehicles is the SSF recovery vessel being designed around, and is any flying vehicle committed?</w:t>
      </w:r>
    </w:p>
    <w:p>
      <w:pPr>
        <w:pStyle w:val="ListBullet"/>
        <w:spacing w:after="40"/>
      </w:pPr>
      <w:r>
        <w:t xml:space="preserve"> Is the hull sized for rough Japanese seas (per ClassNK) — and could it carry an on-deck basin?</w:t>
      </w:r>
    </w:p>
    <w:p>
      <w:pPr>
        <w:pStyle w:val="ListBullet"/>
        <w:spacing w:after="40"/>
      </w:pPr>
      <w:r>
        <w:t xml:space="preserve"> Would NYK consider a vessel that also launches — and has NYK or MHI studied an open-water flame duct?</w:t>
      </w:r>
    </w:p>
    <w:p>
      <w:pPr>
        <w:pStyle w:val="ListBullet"/>
        <w:spacing w:after="40"/>
      </w:pPr>
      <w:r>
        <w:t xml:space="preserve"> Prototype vessel and sea-trial dates: can a shore or near-vessel recovery fit before them?</w:t>
      </w:r>
    </w:p>
    <w:p>
      <w:pPr>
        <w:pStyle w:val="ListBullet"/>
        <w:spacing w:after="40"/>
      </w:pPr>
      <w:r>
        <w:t xml:space="preserve"> Can a U.S. operator join under SSF, or must this be a separate NYK agreement?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