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/>
    <w:p>
      <w:pPr>
        <w:jc w:val="center"/>
      </w:pPr>
      <w:r>
        <w:rPr>
          <w:rFonts w:ascii="Calibri" w:hAnsi="Calibri"/>
          <w:b/>
          <w:i w:val="0"/>
          <w:color w:val="0A3D7C"/>
          <w:sz w:val="32"/>
        </w:rPr>
        <w:t>MEETING NOTES — NASA MSFC RDRE TECHNICAL DISCUSSION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2"/>
        </w:rPr>
        <w:t>October 6, 2026  |  1:00 PM CDT  |  Virtual</w:t>
      </w:r>
    </w:p>
    <w:p>
      <w:pPr>
        <w:ind w:left="288"/>
      </w:pPr>
      <w:r>
        <w:rPr>
          <w:rFonts w:ascii="Calibri" w:hAnsi="Calibri"/>
          <w:b/>
          <w:i w:val="0"/>
          <w:color w:val="CC0000"/>
          <w:sz w:val="19"/>
        </w:rPr>
        <w:t>⚠ INTERNAL ONLY — For Exos internal use only. Do not distribute outside Exos without Jon Quinn approval.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1. Attendees</w:t>
      </w:r>
    </w:p>
    <w:p>
      <w:r>
        <w:rPr>
          <w:rFonts w:ascii="Calibri" w:hAnsi="Calibri"/>
          <w:b/>
          <w:i w:val="0"/>
          <w:color w:val="0A3D7C"/>
          <w:sz w:val="22"/>
        </w:rPr>
        <w:t>NASA MSFC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Tom Teasley — RDRE Technical Lead, INROADS program, ER13 (combustion devices)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Seth Bell — Industry &amp; Commercial Partnerships Manager (also covers OGA / Other Government Agencies)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Mike — Partnerships (surname unknown; Seth's colleague in the partnerships office)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Chris Hill — Project Manager / Approver for INROADS (not on the call; must approve any SAA)</w:t>
      </w:r>
    </w:p>
    <w:p>
      <w:r>
        <w:rPr>
          <w:rFonts w:ascii="Calibri" w:hAnsi="Calibri"/>
          <w:b/>
          <w:i w:val="0"/>
          <w:color w:val="0A3D7C"/>
          <w:sz w:val="22"/>
        </w:rPr>
        <w:t>Exos Aerospace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Jon Quinn — Cofounder &amp; CEO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Phil Gard — Chief Engineer (joined call late, via phone)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2. Background &amp; Purpose</w:t>
      </w:r>
    </w:p>
    <w:p>
      <w:pPr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This was the first substantive technical-plus-business meeting between Exos Aerospace and NASA MSFC's RDRE team. Exos is conducting a trade-study down-select between (a) licensing the NASA MSFC INROADS RDRE design and (b) the GTL fully-machined RDRE path, for potential integration on a BLK3-class vehicle flight demonstration. This meeting opened both the technical and agreement-structure discussions.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19"/>
        </w:rPr>
        <w:t>Transcription note: 'INROADS' (or 'in roads') appears to be the NASA MSFC RDRE development program name. '9,000–12,000 kilohertz' is almost certainly 9–12 kHz (kilohertz) not megahertz.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3. Technical Facts (per Teasley, verbal — 2026-10-06)</w:t>
      </w:r>
    </w:p>
    <w:p>
      <w:r>
        <w:rPr>
          <w:rFonts w:ascii="Calibri" w:hAnsi="Calibri"/>
          <w:b/>
          <w:i w:val="0"/>
          <w:color w:val="0A3D7C"/>
          <w:sz w:val="22"/>
        </w:rPr>
        <w:t>3.1 Engine Performance &amp; Tested Hardware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Maximum tested thrust: 5,800 lbf (sea level, pressure-fed to date).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Baseline design: ~20 lb/s mass flow → ~5,000–6,000 lbf at sea level (sea-level atmosphere).  (per Teasley, verbal)</w:t>
      </w:r>
    </w:p>
    <w:p>
      <w:pPr>
        <w:ind w:left="720"/>
      </w:pPr>
      <w:r>
        <w:rPr>
          <w:rFonts w:ascii="Calibri" w:hAnsi="Calibri"/>
          <w:b w:val="0"/>
          <w:i w:val="0"/>
          <w:color w:val="1A1A1A"/>
          <w:sz w:val="21"/>
        </w:rPr>
        <w:t>•    At altitude (e.g., 10,000 ft) same conditions yield ~8,000 lbf+.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Baseline operating conditions: ~1,000 psi chamber pressure / ~1,700 psi inlet pressure.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Throttle capability: baselined at 50%; possibly 40%, unconfirmed — thrust chamber only, other components may limit further.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Cooling: all regenerative — no film cooling used.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A notional 10,000-lbf engine system is baselined for a turbo-pump-fed methane-rich gas generator cycle (thrust chamber same design, 50–100% = ~5,000–10,000 lbf).  (per Teasley, verbal)</w:t>
      </w:r>
    </w:p>
    <w:p>
      <w:r>
        <w:rPr>
          <w:rFonts w:ascii="Calibri" w:hAnsi="Calibri"/>
          <w:b/>
          <w:i w:val="0"/>
          <w:color w:val="0A3D7C"/>
          <w:sz w:val="22"/>
        </w:rPr>
        <w:t>3.2 Efficiency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≥98% combustion efficiency at ≥700 psi chamber pressure.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≥90% combustion efficiency above ~300 psi chamber pressure.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ISP ~250 s at ~300 psi Pc / 20 lb/s / ~5,000 lbf (LOX-methane or LOX-ethanol close to same).  (per Teasley, verbal)</w:t>
      </w:r>
    </w:p>
    <w:p>
      <w:r>
        <w:rPr>
          <w:rFonts w:ascii="Calibri" w:hAnsi="Calibri"/>
          <w:b/>
          <w:i w:val="0"/>
          <w:color w:val="0A3D7C"/>
          <w:sz w:val="22"/>
        </w:rPr>
        <w:t>3.3 Loads Environment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Measured loads: up to ~1,000+ g in some test configurations.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Dominant frequency range: ~9–12 kHz.  (per Teasley, verbal)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19"/>
        </w:rPr>
        <w:t>Transcription artifact: transcript reads '9,000–12,000 kilohertz' which is almost certainly 9–12 kHz.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Loads environment data book: not yet released — team is still correlating scattershot data from different test-article locations; data not yet interpretable enough to publish.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Structural damage observed: early testing saw metal C-rings shattering; pushing operating frequency higher shifted to smaller instrumentation ports failing.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No wall erosion of the combustion chamber surface has been observed in any MSFC test.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Detonations appear localized within the first ~0.25 inch from the injector face.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Resonator cavity testing showed it did mitigate targeted frequencies.  (per Teasley, verbal)</w:t>
      </w:r>
    </w:p>
    <w:p>
      <w:r>
        <w:rPr>
          <w:rFonts w:ascii="Calibri" w:hAnsi="Calibri"/>
          <w:b/>
          <w:i w:val="0"/>
          <w:color w:val="0A3D7C"/>
          <w:sz w:val="22"/>
        </w:rPr>
        <w:t>3.4 Inlet Pressure / Exos Interface Compatibility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750 psi inlet would require a redesign and remanufacture of the outer body to open the throat area (reduce chamber pressure and inlet pressure to match Exos supply capability).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Running at ~25 lb/s for ~6,000 lbf SL requires ~1,200 psi inlet — pushes toward pump augmentation.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Options for Exos tank pressure: 750 / 1,000 / 1,200 psi — Exos can manufacture CF tanks to any of these ratings.  (discussed on call)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MSFC did look for LOX/CH4 turbo-pump designs below 10,000 lbf in the NASA repository — none found.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Alternative noted: Ursa Major Hadley engine (~5,000 lbf, LOX/kerosene, oxidizer-rich) — turbo-pump could potentially be adapted with an RDRE thrust chamber.  (per Teasley, verbal)</w:t>
      </w:r>
    </w:p>
    <w:p>
      <w:r>
        <w:rPr>
          <w:rFonts w:ascii="Calibri" w:hAnsi="Calibri"/>
          <w:b/>
          <w:i w:val="0"/>
          <w:color w:val="0A3D7C"/>
          <w:sz w:val="22"/>
        </w:rPr>
        <w:t>3.5 Hardware Availability &amp; Timeline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Existing non-flight-weight hardware: available now; no performance guarantee, no duration guarantee.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Higher-confidence hardware: post-1B test series (≈ March–May 2027) and post-1C series — likely available end-2027 at earliest.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New thrust chamber (license &amp; adapt current design): ~12–18 months to do correctly.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Exos-owned design with Teasley coaching: approximately 2 years.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Turbomachinery: several years; even the INROADS program was baselined 4–5 years and it was considered aggressive.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Manufacturing steps (additive path): ~10 days print + ~3 weeks depowder + optional CT scan + HIP up to ~2 weeks + flow test up to ~2 weeks.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GRCop powder supply easing: primary suppliers bringing additional nozzles online; several large shipments reportedly landed ~2 months ago.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Fastest path overall: license the current INROADS design (adapts to Exos operating conditions, not flight-weight but extensible).  (per Teasley, verbal)</w:t>
      </w:r>
    </w:p>
    <w:p>
      <w:r>
        <w:rPr>
          <w:rFonts w:ascii="Calibri" w:hAnsi="Calibri"/>
          <w:b/>
          <w:i w:val="0"/>
          <w:color w:val="0A3D7C"/>
          <w:sz w:val="22"/>
        </w:rPr>
        <w:t>3.6 Vacuum / In-Space Operation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Vacuum restart is possible — some MSFC work done, details not releasable.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No flight demonstration is funded or planned in the current INROADS program; any flight demo is 5–10+ years out under NASA's current program.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Ground-based vacuum chamber demo discussion exists, but is not funded.  (per Teasley, verbal)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19"/>
        </w:rPr>
        <w:t>Jon commented Exos could potentially do a vacuum/in-space flight demo in 2 years or less — noted as an Exos aspiration, not a NASA commitment.</w:t>
      </w:r>
    </w:p>
    <w:p>
      <w:r>
        <w:rPr>
          <w:rFonts w:ascii="Calibri" w:hAnsi="Calibri"/>
          <w:b/>
          <w:i w:val="0"/>
          <w:color w:val="0A3D7C"/>
          <w:sz w:val="22"/>
        </w:rPr>
        <w:t>3.7 INROADS Program Papers / IP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Heat-transfer correlation paper in journal review (JNF / JANNAF); single equation predicts convective heat transfer coefficient for LOX/CH4 RDE hot wall.  (per Teasley,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Paper in Journal of Propulsion &amp; Power: design and prediction of wave count and wave speed for any given geometry — validated against ~300 hot fires.  (per Teasley, verbal)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4. Proposed Agreement Path (per MSFC — Teasley / Mike / Seth,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Step 1: Exos provides firm written requirements document — what they want, operating conditions, expectations, schedule/budget context.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Step 2: Teasley socializes requirements with PM Chris Hill. Hill must approve before any agreement is executed.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Step 3: Umbrella Reimbursable Space Act Agreement (SAA), structured with annexes allowing phased scope additions.</w:t>
      </w:r>
    </w:p>
    <w:p>
      <w:pPr>
        <w:ind w:left="720"/>
      </w:pPr>
      <w:r>
        <w:rPr>
          <w:rFonts w:ascii="Calibri" w:hAnsi="Calibri"/>
          <w:b w:val="0"/>
          <w:i w:val="0"/>
          <w:color w:val="1A1A1A"/>
          <w:sz w:val="21"/>
        </w:rPr>
        <w:t>•    Annex 1 starts with paid consultation — Exos pays for Teasley's time; Seth and Mike are overhead / no direct cost.  (per Mike/Seth, verbal)</w:t>
      </w:r>
    </w:p>
    <w:p>
      <w:pPr>
        <w:ind w:left="720"/>
      </w:pPr>
      <w:r>
        <w:rPr>
          <w:rFonts w:ascii="Calibri" w:hAnsi="Calibri"/>
          <w:b w:val="0"/>
          <w:i w:val="0"/>
          <w:color w:val="1A1A1A"/>
          <w:sz w:val="21"/>
        </w:rPr>
        <w:t>•    Subsequent annexes added as scope / needs evolve.  (per Seth, verbal)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Licensing path: Exos has NOT yet engaged NASA Tech Transfer. Teasley confirmed this is the separate, necessary step for an IP license.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19"/>
        </w:rPr>
        <w:t>All Space Act Agreements are public documents — searchable on NASA.gov. Exos has 1–2 existing SAAs.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5. Exos-Stated Intents (on call — Jon / Phil)</w:t>
      </w:r>
    </w:p>
    <w:p>
      <w:pPr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The following reflects what Jon and Phil stated on the call as Exos's intent/goals. These are pre-decisional and subject to board approval and trade-study completion.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Flight objective: hover, then fly — generate in-flight data on isolation/damping requirements and in-flight RDRE behavior not available from ground testing.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Target burn duration: ~85 seconds.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Propellant: LOX/CH4 or LOX/ethanol (tank sizing is ~1:1 between the two).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Thrust target: ~6,000 lbf sea level.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Inlet pressure options Exos can supply: 750 / 1,000 / 1,200 psi (CF tank manufacturing in-house).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Approximate program budget mentioned: ~$10M for a BLK3-class flight demo.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Noted existing Exos advantage: previously flew a NASA active vibration damper — aware of what an isolator/damper looks like.</w:t>
      </w:r>
    </w:p>
    <w:p>
      <w:pPr>
        <w:ind w:left="288"/>
      </w:pPr>
      <w:r>
        <w:rPr>
          <w:rFonts w:ascii="Calibri" w:hAnsi="Calibri"/>
          <w:b/>
          <w:i w:val="0"/>
          <w:color w:val="CC0000"/>
          <w:sz w:val="19"/>
        </w:rPr>
        <w:t>⚠ INTERNAL ONLY — Do NOT describe Exos as an 'RDRE propulsion provider' or as offering propulsion packages. RDRE remains a trade-study down-select (MSFC license vs. GTL machined). Exos does not own the MSFC RDRE technology.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6. Open Questions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Exact Exos inlet pressure requirement (750 / 1,000 / 1,200 psi) — drives whether outer-body redesign is needed.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Propellant selection: LOX/CH4 vs. LOX/ethanol — to be confirmed in requirements.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Mass flow and thrust precision: Phil to confirm numbers vs. Teasley's 20 lb/s baseline.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Is ~6,000 lbf achievable at 750 psi inlet without outer-body redesign? — Teasley to confirm after seeing firm requirements.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Hadley engine turbo-pump adaptation: path/cost/timeline vs. clean-sheet electric pump at 5,000–6,000 lbf?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'RCG' data — confirm exact meaning per Dankanich context.</w:t>
      </w:r>
    </w:p>
    <w:p>
      <w:pPr>
        <w:ind w:left="360"/>
      </w:pPr>
      <w:r>
        <w:rPr>
          <w:rFonts w:ascii="Calibri" w:hAnsi="Calibri"/>
          <w:b w:val="0"/>
          <w:i w:val="0"/>
          <w:color w:val="1A1A1A"/>
          <w:sz w:val="21"/>
        </w:rPr>
        <w:t>•  Has Exos had contact with NASA Tech Transfer? (Teasley confirmed they have not — needs to be initiated for licensing path.)</w:t>
      </w:r>
    </w:p>
    <w:p>
      <w:pPr>
        <w:pBdr>
          <w:bottom w:val="single" w:sz="4" w:space="1" w:color="0A3D7C"/>
        </w:pBdr>
      </w:pPr>
    </w:p>
    <w:p>
      <w:r>
        <w:rPr>
          <w:rFonts w:ascii="Calibri" w:hAnsi="Calibri"/>
          <w:b/>
          <w:i w:val="0"/>
          <w:color w:val="0A3D7C"/>
          <w:sz w:val="26"/>
        </w:rPr>
        <w:t>7. Actions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A-1: </w:t>
      </w:r>
      <w:r>
        <w:rPr>
          <w:rFonts w:ascii="Calibri" w:hAnsi="Calibri"/>
          <w:b w:val="0"/>
          <w:i w:val="0"/>
          <w:color w:val="1A1A1A"/>
          <w:sz w:val="21"/>
        </w:rPr>
        <w:t>Jon / Phil — Draft and finalize firm written RDRE requirements document; send to Teasley for Chris Hill review. [OWNER: Jon — Decision posted 2026-10-07]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A-2: </w:t>
      </w:r>
      <w:r>
        <w:rPr>
          <w:rFonts w:ascii="Calibri" w:hAnsi="Calibri"/>
          <w:b w:val="0"/>
          <w:i w:val="0"/>
          <w:color w:val="1A1A1A"/>
          <w:sz w:val="21"/>
        </w:rPr>
        <w:t>Phil — Confirm precise mass flow, inlet pressure envelope, and thrust requirement; validate against Teasley's 20 lb/s baseline. [OWNER: Phil]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A-3: </w:t>
      </w:r>
      <w:r>
        <w:rPr>
          <w:rFonts w:ascii="Calibri" w:hAnsi="Calibri"/>
          <w:b w:val="0"/>
          <w:i w:val="0"/>
          <w:color w:val="1A1A1A"/>
          <w:sz w:val="21"/>
        </w:rPr>
        <w:t>Jon — Initiate contact with NASA Tech Transfer office re: INROADS license path (separate from SAA / Teasley). [OWNER: Jon]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A-4: </w:t>
      </w:r>
      <w:r>
        <w:rPr>
          <w:rFonts w:ascii="Calibri" w:hAnsi="Calibri"/>
          <w:b w:val="0"/>
          <w:i w:val="0"/>
          <w:color w:val="1A1A1A"/>
          <w:sz w:val="21"/>
        </w:rPr>
        <w:t>Jon — Loop in Dankanich on 10/6 meeting outcome; update on GRCop supply and PSI connection (pending). [OWNER: Jon]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A-5: </w:t>
      </w:r>
      <w:r>
        <w:rPr>
          <w:rFonts w:ascii="Calibri" w:hAnsi="Calibri"/>
          <w:b w:val="0"/>
          <w:i w:val="0"/>
          <w:color w:val="1A1A1A"/>
          <w:sz w:val="21"/>
        </w:rPr>
        <w:t>Seth Bell (MSFC) — Prepare umbrella SAA framework for when requirements are ready; Exos to confirm schedule/timeline. [OWNER: Seth]</w:t>
      </w:r>
    </w:p>
    <w:p>
      <w:pPr>
        <w:pBdr>
          <w:bottom w:val="single" w:sz="4" w:space="1" w:color="0A3D7C"/>
        </w:pBdr>
      </w:pPr>
    </w:p>
    <w:p/>
    <w:p>
      <w:pPr>
        <w:jc w:val="center"/>
      </w:pPr>
      <w:r>
        <w:rPr>
          <w:rFonts w:ascii="Calibri" w:hAnsi="Calibri"/>
          <w:b w:val="0"/>
          <w:i/>
          <w:color w:val="555555"/>
          <w:sz w:val="17"/>
        </w:rPr>
        <w:t>Exos Aerospace Systems &amp; Technologies, Inc.  |  299 FM 1903, Greenville, TX 75402  |  jquinn@exosaero.com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7"/>
        </w:rPr>
        <w:t>INTERNAL — Do not distribute. Proprietary — Unclassified.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