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124D" w14:textId="2A1275F1" w:rsidR="00D02269" w:rsidRPr="007C623E" w:rsidRDefault="00D02269" w:rsidP="007C623E"/>
    <w:p/>
    <w:p>
      <w:pPr>
        <w:jc w:val="center"/>
      </w:pPr>
      <w:r>
        <w:rPr>
          <w:rFonts w:ascii="Calibri" w:hAnsi="Calibri"/>
          <w:b/>
          <w:i w:val="0"/>
          <w:color w:val="CC0000"/>
          <w:sz w:val="22"/>
        </w:rPr>
        <w:t>⚠  DRAFT — NOT FOR RELEASE — Pending Jon Quinn Approval  ⚠</w:t>
      </w:r>
    </w:p>
    <w:p>
      <w:pPr>
        <w:jc w:val="center"/>
      </w:pPr>
      <w:r>
        <w:rPr>
          <w:rFonts w:ascii="Calibri" w:hAnsi="Calibri"/>
          <w:b/>
          <w:i w:val="0"/>
          <w:color w:val="0A3D7C"/>
          <w:sz w:val="32"/>
        </w:rPr>
        <w:t>RDRE FLIGHT DEMONSTRATION — DRAFT REQUIREMENTS SPECIFICATION</w:t>
      </w:r>
    </w:p>
    <w:p>
      <w:pPr>
        <w:jc w:val="center"/>
      </w:pPr>
      <w:r>
        <w:rPr>
          <w:rFonts w:ascii="Calibri" w:hAnsi="Calibri"/>
          <w:b w:val="0"/>
          <w:i/>
          <w:color w:val="555555"/>
          <w:sz w:val="22"/>
        </w:rPr>
        <w:t>Submitted by Exos Aerospace to NASA MSFC / Thomas Teasley</w:t>
      </w:r>
    </w:p>
    <w:p>
      <w:pPr>
        <w:jc w:val="center"/>
      </w:pPr>
      <w:r>
        <w:rPr>
          <w:rFonts w:ascii="Calibri" w:hAnsi="Calibri"/>
          <w:b w:val="0"/>
          <w:i w:val="0"/>
          <w:color w:val="1A1A1A"/>
          <w:sz w:val="21"/>
        </w:rPr>
        <w:t>Draft Date: October 7, 2026  |  Version: DRAFT v0.1</w:t>
      </w:r>
    </w:p>
    <w:p>
      <w:pPr>
        <w:jc w:val="center"/>
      </w:pPr>
      <w:r>
        <w:rPr>
          <w:rFonts w:ascii="Calibri" w:hAnsi="Calibri"/>
          <w:b w:val="0"/>
          <w:i w:val="0"/>
          <w:color w:val="1A1A1A"/>
          <w:sz w:val="21"/>
        </w:rPr>
        <w:t>POC: John Quinn, Cofounder &amp; CEO  |  jquinn@exosaero.com</w:t>
      </w:r>
    </w:p>
    <w:p>
      <w:pPr>
        <w:jc w:val="center"/>
      </w:pPr>
      <w:r>
        <w:rPr>
          <w:rFonts w:ascii="Calibri" w:hAnsi="Calibri"/>
          <w:b w:val="0"/>
          <w:i/>
          <w:color w:val="555555"/>
          <w:sz w:val="18"/>
        </w:rPr>
        <w:t>Proprietary — Unclassified. Items marked [TBD-Phil] require confirmation from Phil Gard / Neil before release.</w:t>
      </w:r>
    </w:p>
    <w:p>
      <w:pPr>
        <w:pBdr>
          <w:bottom w:val="single" w:sz="4" w:space="1" w:color="0A3D7C"/>
        </w:pBdr>
      </w:pPr>
    </w:p>
    <w:p>
      <w:r>
        <w:rPr>
          <w:rFonts w:ascii="Calibri" w:hAnsi="Calibri"/>
          <w:b/>
          <w:i w:val="0"/>
          <w:color w:val="0A3D7C"/>
          <w:sz w:val="26"/>
        </w:rPr>
        <w:t>1. Objective</w:t>
      </w:r>
    </w:p>
    <w:p>
      <w:pPr>
        <w:jc w:val="both"/>
      </w:pPr>
      <w:r>
        <w:rPr>
          <w:rFonts w:ascii="Calibri" w:hAnsi="Calibri"/>
          <w:b w:val="0"/>
          <w:i w:val="0"/>
          <w:color w:val="1A1A1A"/>
          <w:sz w:val="21"/>
        </w:rPr>
        <w:t>Exos Aerospace seeks to perform an in-flight demonstration of an RDRE engine on a BLK3-class suborbital rocket. The primary objectives are: (a) generate the first in-flight RDRE performance data set (ISP, combustion stability, heat signature) under real flight conditions; (b) characterize in-flight loads and vibration environment at the engine–vehicle interface to define isolation and damping requirements for future flight systems; and (c) operate the engine exclusively within the test-stand-demonstrated performance envelope established by NASA MSFC's INROADS program.</w:t>
      </w:r>
    </w:p>
    <w:p>
      <w:pPr>
        <w:jc w:val="both"/>
      </w:pPr>
      <w:r>
        <w:rPr>
          <w:rFonts w:ascii="Calibri" w:hAnsi="Calibri"/>
          <w:b w:val="0"/>
          <w:i w:val="0"/>
          <w:color w:val="1A1A1A"/>
          <w:sz w:val="21"/>
        </w:rPr>
        <w:t>The vehicle profile is: ground-level hover, then flight. Exos does not seek to operate the engine outside any regime previously demonstrated on the MSFC test stand. All flight data gathered would be made available to NASA under the agreed Space Act Agreement.</w:t>
      </w:r>
    </w:p>
    <w:p>
      <w:pPr>
        <w:pBdr>
          <w:bottom w:val="single" w:sz="4" w:space="1" w:color="0A3D7C"/>
        </w:pBdr>
      </w:pPr>
    </w:p>
    <w:p>
      <w:r>
        <w:rPr>
          <w:rFonts w:ascii="Calibri" w:hAnsi="Calibri"/>
          <w:b/>
          <w:i w:val="0"/>
          <w:color w:val="0A3D7C"/>
          <w:sz w:val="26"/>
        </w:rPr>
        <w:t>2. Propellant</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Propellant selection: LOX/CH4 or LOX/Ethanol — TBD. Tank sizing is approximately 1:1 between these two propellants, so either is viable from a vehicle standpoint. Exos requests Teasley's recommendation on which is better suited to the existing INROADS hardware.</w:t>
      </w:r>
    </w:p>
    <w:p>
      <w:pPr>
        <w:ind w:left="504"/>
      </w:pPr>
      <w:r>
        <w:rPr>
          <w:rFonts w:ascii="Calibri" w:hAnsi="Calibri"/>
          <w:b w:val="0"/>
          <w:i/>
          <w:color w:val="555555"/>
          <w:sz w:val="19"/>
        </w:rPr>
        <w:t>Note: LOX/ethanol and LOX/methane show near-equivalent performance on the INROADS thrust chamber per Teasley 10/6 discussion.</w:t>
      </w:r>
    </w:p>
    <w:p>
      <w:pPr>
        <w:pBdr>
          <w:bottom w:val="single" w:sz="4" w:space="1" w:color="0A3D7C"/>
        </w:pBdr>
      </w:pPr>
    </w:p>
    <w:p>
      <w:r>
        <w:rPr>
          <w:rFonts w:ascii="Calibri" w:hAnsi="Calibri"/>
          <w:b/>
          <w:i w:val="0"/>
          <w:color w:val="0A3D7C"/>
          <w:sz w:val="26"/>
        </w:rPr>
        <w:t>3. Performance Requirements</w:t>
      </w:r>
    </w:p>
    <w:p>
      <w:r>
        <w:rPr>
          <w:rFonts w:ascii="Calibri" w:hAnsi="Calibri"/>
          <w:b/>
          <w:i w:val="0"/>
          <w:color w:val="0A3D7C"/>
          <w:sz w:val="22"/>
        </w:rPr>
        <w:t>3.1 Thrust</w:t>
      </w:r>
    </w:p>
    <w:p>
      <w:r>
        <w:rPr>
          <w:rFonts w:ascii="Calibri" w:hAnsi="Calibri"/>
          <w:b/>
          <w:i w:val="0"/>
          <w:color w:val="0A3D7C"/>
          <w:sz w:val="21"/>
        </w:rPr>
        <w:t xml:space="preserve">REQ-001  </w:t>
      </w:r>
      <w:r>
        <w:rPr>
          <w:rFonts w:ascii="Calibri" w:hAnsi="Calibri"/>
          <w:b w:val="0"/>
          <w:i w:val="0"/>
          <w:color w:val="1A1A1A"/>
          <w:sz w:val="21"/>
        </w:rPr>
        <w:t>Minimum required sea-level thrust: 5,000 lbf at the engine / vehicle interface.</w:t>
      </w:r>
    </w:p>
    <w:p>
      <w:r>
        <w:rPr>
          <w:rFonts w:ascii="Calibri" w:hAnsi="Calibri"/>
          <w:b/>
          <w:i w:val="0"/>
          <w:color w:val="0A3D7C"/>
          <w:sz w:val="21"/>
        </w:rPr>
        <w:t xml:space="preserve">REQ-002  </w:t>
      </w:r>
      <w:r>
        <w:rPr>
          <w:rFonts w:ascii="Calibri" w:hAnsi="Calibri"/>
          <w:b w:val="0"/>
          <w:i w:val="0"/>
          <w:color w:val="1A1A1A"/>
          <w:sz w:val="21"/>
        </w:rPr>
        <w:t>Target sea-level thrust: ~6,000 lbf. Higher thrust is acceptable if achievable within the inlet-pressure constraints in Section 4.</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Thrust confirmation: confirm minimum acceptable thrust for the BLK3-class vehicle mission profile (hover then flight to target altitude).</w:t>
      </w:r>
    </w:p>
    <w:p>
      <w:r>
        <w:rPr>
          <w:rFonts w:ascii="Calibri" w:hAnsi="Calibri"/>
          <w:b/>
          <w:i w:val="0"/>
          <w:color w:val="0A3D7C"/>
          <w:sz w:val="22"/>
        </w:rPr>
        <w:t>3.2 Mass Flow</w:t>
      </w:r>
    </w:p>
    <w:p>
      <w:r>
        <w:rPr>
          <w:rFonts w:ascii="Calibri" w:hAnsi="Calibri"/>
          <w:b/>
          <w:i w:val="0"/>
          <w:color w:val="0A3D7C"/>
          <w:sz w:val="21"/>
        </w:rPr>
        <w:t xml:space="preserve">REQ-003  </w:t>
      </w:r>
      <w:r>
        <w:rPr>
          <w:rFonts w:ascii="Calibri" w:hAnsi="Calibri"/>
          <w:b/>
          <w:i w:val="0"/>
          <w:color w:val="B88600"/>
          <w:sz w:val="21"/>
        </w:rPr>
        <w:t xml:space="preserve">[TBD-Phil] </w:t>
      </w:r>
      <w:r>
        <w:rPr>
          <w:rFonts w:ascii="Calibri" w:hAnsi="Calibri"/>
          <w:b w:val="0"/>
          <w:i w:val="0"/>
          <w:color w:val="1A1A1A"/>
          <w:sz w:val="21"/>
        </w:rPr>
        <w:t>Target mass flow: approximately 20–25 lb/s.</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Mass flow: confirm design point mass flow (lb/s total, oxidizer-to-fuel ratio) and acceptable range.</w:t>
      </w:r>
    </w:p>
    <w:p>
      <w:r>
        <w:rPr>
          <w:rFonts w:ascii="Calibri" w:hAnsi="Calibri"/>
          <w:b/>
          <w:i w:val="0"/>
          <w:color w:val="0A3D7C"/>
          <w:sz w:val="22"/>
        </w:rPr>
        <w:t>3.3 Burn Duration</w:t>
      </w:r>
    </w:p>
    <w:p>
      <w:r>
        <w:rPr>
          <w:rFonts w:ascii="Calibri" w:hAnsi="Calibri"/>
          <w:b/>
          <w:i w:val="0"/>
          <w:color w:val="0A3D7C"/>
          <w:sz w:val="21"/>
        </w:rPr>
        <w:t xml:space="preserve">REQ-004  </w:t>
      </w:r>
      <w:r>
        <w:rPr>
          <w:rFonts w:ascii="Calibri" w:hAnsi="Calibri"/>
          <w:b w:val="0"/>
          <w:i w:val="0"/>
          <w:color w:val="1A1A1A"/>
          <w:sz w:val="21"/>
        </w:rPr>
        <w:t>Required burn duration: minimum 85 seconds (continuous), encompassing hover phase and flight ascent. Engine must survive the full duration without performance excursions outside tested ranges.</w:t>
      </w:r>
    </w:p>
    <w:p>
      <w:r>
        <w:rPr>
          <w:rFonts w:ascii="Calibri" w:hAnsi="Calibri"/>
          <w:b/>
          <w:i w:val="0"/>
          <w:color w:val="0A3D7C"/>
          <w:sz w:val="22"/>
        </w:rPr>
        <w:t>3.4 Throttle</w:t>
      </w:r>
    </w:p>
    <w:p>
      <w:r>
        <w:rPr>
          <w:rFonts w:ascii="Calibri" w:hAnsi="Calibri"/>
          <w:b/>
          <w:i w:val="0"/>
          <w:color w:val="0A3D7C"/>
          <w:sz w:val="21"/>
        </w:rPr>
        <w:t xml:space="preserve">REQ-005  </w:t>
      </w:r>
      <w:r>
        <w:rPr>
          <w:rFonts w:ascii="Calibri" w:hAnsi="Calibri"/>
          <w:b w:val="0"/>
          <w:i w:val="0"/>
          <w:color w:val="1A1A1A"/>
          <w:sz w:val="21"/>
        </w:rPr>
        <w:t>Throttle range: 50–100% of rated thrust minimum. Exos would use throttle during hover phase.</w:t>
      </w:r>
    </w:p>
    <w:p>
      <w:pPr>
        <w:ind w:left="504"/>
      </w:pPr>
      <w:r>
        <w:rPr>
          <w:rFonts w:ascii="Calibri" w:hAnsi="Calibri"/>
          <w:b w:val="0"/>
          <w:i/>
          <w:color w:val="555555"/>
          <w:sz w:val="19"/>
        </w:rPr>
        <w:t>Note: MSFC baseline supports 50% throttle; possibly 40% — not yet confirmed below 50%.</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Minimum throttle: confirm whether 40% throttle is available for hover-phase control authority.</w:t>
      </w:r>
    </w:p>
    <w:p>
      <w:r>
        <w:rPr>
          <w:rFonts w:ascii="Calibri" w:hAnsi="Calibri"/>
          <w:b/>
          <w:i w:val="0"/>
          <w:color w:val="0A3D7C"/>
          <w:sz w:val="22"/>
        </w:rPr>
        <w:t>3.5 Specific Impulse</w:t>
      </w:r>
    </w:p>
    <w:p>
      <w:r>
        <w:rPr>
          <w:rFonts w:ascii="Calibri" w:hAnsi="Calibri"/>
          <w:b/>
          <w:i w:val="0"/>
          <w:color w:val="0A3D7C"/>
          <w:sz w:val="21"/>
        </w:rPr>
        <w:t xml:space="preserve">REQ-006  </w:t>
      </w:r>
      <w:r>
        <w:rPr>
          <w:rFonts w:ascii="Calibri" w:hAnsi="Calibri"/>
          <w:b/>
          <w:i w:val="0"/>
          <w:color w:val="B88600"/>
          <w:sz w:val="21"/>
        </w:rPr>
        <w:t xml:space="preserve">[TBD-Phil] </w:t>
      </w:r>
      <w:r>
        <w:rPr>
          <w:rFonts w:ascii="Calibri" w:hAnsi="Calibri"/>
          <w:b w:val="0"/>
          <w:i w:val="0"/>
          <w:color w:val="1A1A1A"/>
          <w:sz w:val="21"/>
        </w:rPr>
        <w:t>Target Isp: ≥250 s sea level (vacuum Isp not required for this demonstration).</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Isp confirmation: verify Isp at the agreed design-point Pc and mass flow.</w:t>
      </w:r>
    </w:p>
    <w:p>
      <w:r>
        <w:rPr>
          <w:rFonts w:ascii="Calibri" w:hAnsi="Calibri"/>
          <w:b/>
          <w:i w:val="0"/>
          <w:color w:val="0A3D7C"/>
          <w:sz w:val="22"/>
        </w:rPr>
        <w:t>3.6 Efficiency</w:t>
      </w:r>
    </w:p>
    <w:p>
      <w:r>
        <w:rPr>
          <w:rFonts w:ascii="Calibri" w:hAnsi="Calibri"/>
          <w:b/>
          <w:i w:val="0"/>
          <w:color w:val="0A3D7C"/>
          <w:sz w:val="21"/>
        </w:rPr>
        <w:t xml:space="preserve">REQ-007  </w:t>
      </w:r>
      <w:r>
        <w:rPr>
          <w:rFonts w:ascii="Calibri" w:hAnsi="Calibri"/>
          <w:b w:val="0"/>
          <w:i w:val="0"/>
          <w:color w:val="1A1A1A"/>
          <w:sz w:val="21"/>
        </w:rPr>
        <w:t>Combustion efficiency: ≥90% acceptable; ≥98% preferred (achievable per MSFC data at ≥700 psi Pc).</w:t>
      </w:r>
    </w:p>
    <w:p>
      <w:pPr>
        <w:pBdr>
          <w:bottom w:val="single" w:sz="4" w:space="1" w:color="0A3D7C"/>
        </w:pBdr>
      </w:pPr>
    </w:p>
    <w:p>
      <w:r>
        <w:rPr>
          <w:rFonts w:ascii="Calibri" w:hAnsi="Calibri"/>
          <w:b/>
          <w:i w:val="0"/>
          <w:color w:val="0A3D7C"/>
          <w:sz w:val="26"/>
        </w:rPr>
        <w:t>4. Inlet Pressure Envelope</w:t>
      </w:r>
    </w:p>
    <w:p>
      <w:pPr>
        <w:jc w:val="both"/>
      </w:pPr>
      <w:r>
        <w:rPr>
          <w:rFonts w:ascii="Calibri" w:hAnsi="Calibri"/>
          <w:b w:val="0"/>
          <w:i w:val="0"/>
          <w:color w:val="1A1A1A"/>
          <w:sz w:val="21"/>
        </w:rPr>
        <w:t>Exos manufactures its own carbon fiber propellant tanks and can accommodate the following inlet-pressure options. Exos requests Teasley's guidance on which option best matches the available INROADS hardware or a proposed retrofit:</w:t>
      </w:r>
    </w:p>
    <w:p>
      <w:r>
        <w:rPr>
          <w:rFonts w:ascii="Calibri" w:hAnsi="Calibri"/>
          <w:b/>
          <w:i w:val="0"/>
          <w:color w:val="0A3D7C"/>
          <w:sz w:val="22"/>
        </w:rPr>
        <w:t>Option A — 750 psi inlet</w:t>
      </w:r>
    </w:p>
    <w:p>
      <w:pPr>
        <w:ind w:left="360"/>
      </w:pPr>
      <w:r>
        <w:rPr>
          <w:rFonts w:ascii="Calibri" w:hAnsi="Calibri"/>
          <w:b w:val="0"/>
          <w:i w:val="0"/>
          <w:color w:val="1A1A1A"/>
          <w:sz w:val="21"/>
        </w:rPr>
        <w:t>•  Exos preferred from a vehicle-weight standpoint.</w:t>
      </w:r>
    </w:p>
    <w:p>
      <w:pPr>
        <w:ind w:left="360"/>
      </w:pPr>
      <w:r>
        <w:rPr>
          <w:rFonts w:ascii="Calibri" w:hAnsi="Calibri"/>
          <w:b w:val="0"/>
          <w:i w:val="0"/>
          <w:color w:val="1A1A1A"/>
          <w:sz w:val="21"/>
        </w:rPr>
        <w:t>•  Requires outer-body redesign and remanufacture per Teasley's assessment; reduces Pc to ~300+ psi.</w:t>
      </w:r>
    </w:p>
    <w:p>
      <w:pPr>
        <w:ind w:left="360"/>
      </w:pPr>
      <w:r>
        <w:rPr>
          <w:rFonts w:ascii="Calibri" w:hAnsi="Calibri"/>
          <w:b w:val="0"/>
          <w:i w:val="0"/>
          <w:color w:val="1A1A1A"/>
          <w:sz w:val="21"/>
        </w:rPr>
        <w:t>•  Exos accepts this trade if MSFC can perform the outer-body retrofit within the program schedule.</w:t>
      </w:r>
    </w:p>
    <w:p>
      <w:r>
        <w:rPr>
          <w:rFonts w:ascii="Calibri" w:hAnsi="Calibri"/>
          <w:b/>
          <w:i w:val="0"/>
          <w:color w:val="0A3D7C"/>
          <w:sz w:val="22"/>
        </w:rPr>
        <w:t>Option B — 1,000 psi inlet</w:t>
      </w:r>
    </w:p>
    <w:p>
      <w:pPr>
        <w:ind w:left="360"/>
      </w:pPr>
      <w:r>
        <w:rPr>
          <w:rFonts w:ascii="Calibri" w:hAnsi="Calibri"/>
          <w:b w:val="0"/>
          <w:i w:val="0"/>
          <w:color w:val="1A1A1A"/>
          <w:sz w:val="21"/>
        </w:rPr>
        <w:t>•  MSFC baseline inlet condition for existing INROADS hardware (no outer-body change needed).</w:t>
      </w:r>
    </w:p>
    <w:p>
      <w:pPr>
        <w:ind w:left="360"/>
      </w:pPr>
      <w:r>
        <w:rPr>
          <w:rFonts w:ascii="Calibri" w:hAnsi="Calibri"/>
          <w:b w:val="0"/>
          <w:i w:val="0"/>
          <w:color w:val="1A1A1A"/>
          <w:sz w:val="21"/>
        </w:rPr>
        <w:t>•  Exos can manufacture tanks to 1,000 psi; weight penalty is manageable.</w:t>
      </w:r>
    </w:p>
    <w:p>
      <w:pPr>
        <w:ind w:left="360"/>
      </w:pPr>
      <w:r>
        <w:rPr>
          <w:rFonts w:ascii="Calibri" w:hAnsi="Calibri"/>
          <w:b w:val="0"/>
          <w:i w:val="0"/>
          <w:color w:val="1A1A1A"/>
          <w:sz w:val="21"/>
        </w:rPr>
        <w:t>•  Exos preferred if Option A retrofit adds schedule risk.</w:t>
      </w:r>
    </w:p>
    <w:p>
      <w:r>
        <w:rPr>
          <w:rFonts w:ascii="Calibri" w:hAnsi="Calibri"/>
          <w:b/>
          <w:i w:val="0"/>
          <w:color w:val="0A3D7C"/>
          <w:sz w:val="22"/>
        </w:rPr>
        <w:t>Option C — 1,200 psi inlet</w:t>
      </w:r>
    </w:p>
    <w:p>
      <w:pPr>
        <w:ind w:left="360"/>
      </w:pPr>
      <w:r>
        <w:rPr>
          <w:rFonts w:ascii="Calibri" w:hAnsi="Calibri"/>
          <w:b w:val="0"/>
          <w:i w:val="0"/>
          <w:color w:val="1A1A1A"/>
          <w:sz w:val="21"/>
        </w:rPr>
        <w:t>•  Supports ~25 lb/s mass flow for ~6,000 lbf SL thrust.</w:t>
      </w:r>
    </w:p>
    <w:p>
      <w:pPr>
        <w:ind w:left="360"/>
      </w:pPr>
      <w:r>
        <w:rPr>
          <w:rFonts w:ascii="Calibri" w:hAnsi="Calibri"/>
          <w:b w:val="0"/>
          <w:i w:val="0"/>
          <w:color w:val="1A1A1A"/>
          <w:sz w:val="21"/>
        </w:rPr>
        <w:t>•  Exos can manufacture tanks to 1,200 psi.</w:t>
      </w:r>
    </w:p>
    <w:p>
      <w:pPr>
        <w:ind w:left="360"/>
      </w:pPr>
      <w:r>
        <w:rPr>
          <w:rFonts w:ascii="Calibri" w:hAnsi="Calibri"/>
          <w:b w:val="0"/>
          <w:i w:val="0"/>
          <w:color w:val="1A1A1A"/>
          <w:sz w:val="21"/>
        </w:rPr>
        <w:t>•  Likely approaches pump augmentation territory; Exos will evaluate electric pump addition.</w:t>
      </w:r>
    </w:p>
    <w:p>
      <w:pPr>
        <w:ind w:left="504"/>
      </w:pPr>
      <w:r>
        <w:rPr>
          <w:rFonts w:ascii="Calibri" w:hAnsi="Calibri"/>
          <w:b w:val="0"/>
          <w:i/>
          <w:color w:val="555555"/>
          <w:sz w:val="19"/>
        </w:rPr>
        <w:t>Note: Exos is exploring electric pump augmentation to bridge the 750 psi supply to a higher inlet pressure if required. Exos is NOT currently planning a turbopump system for this vehicle size.</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Inlet pressure selection: confirm final option (A/B/C) with Phil and Neil after reviewing vehicle mass budget.</w:t>
      </w:r>
    </w:p>
    <w:p>
      <w:pPr>
        <w:pBdr>
          <w:bottom w:val="single" w:sz="4" w:space="1" w:color="0A3D7C"/>
        </w:pBdr>
      </w:pPr>
    </w:p>
    <w:p>
      <w:r>
        <w:rPr>
          <w:rFonts w:ascii="Calibri" w:hAnsi="Calibri"/>
          <w:b/>
          <w:i w:val="0"/>
          <w:color w:val="0A3D7C"/>
          <w:sz w:val="26"/>
        </w:rPr>
        <w:t>5. Hardware Options (for Teasley / MSFC Consideration)</w:t>
      </w:r>
    </w:p>
    <w:p>
      <w:pPr>
        <w:jc w:val="both"/>
      </w:pPr>
      <w:r>
        <w:rPr>
          <w:rFonts w:ascii="Calibri" w:hAnsi="Calibri"/>
          <w:b w:val="0"/>
          <w:i w:val="0"/>
          <w:color w:val="1A1A1A"/>
          <w:sz w:val="21"/>
        </w:rPr>
        <w:t>Exos proposes discussion of the following hardware paths. MSFC and Teasley to advise on feasibility and relative schedule/cost confidence:</w:t>
      </w:r>
    </w:p>
    <w:p>
      <w:r>
        <w:rPr>
          <w:rFonts w:ascii="Calibri" w:hAnsi="Calibri"/>
          <w:b/>
          <w:i w:val="0"/>
          <w:color w:val="0A3D7C"/>
          <w:sz w:val="22"/>
        </w:rPr>
        <w:t>Option A — Existing As-Is Hardware</w:t>
      </w:r>
    </w:p>
    <w:p>
      <w:pPr>
        <w:ind w:left="360"/>
      </w:pPr>
      <w:r>
        <w:rPr>
          <w:rFonts w:ascii="Calibri" w:hAnsi="Calibri"/>
          <w:b w:val="0"/>
          <w:i w:val="0"/>
          <w:color w:val="1A1A1A"/>
          <w:sz w:val="21"/>
        </w:rPr>
        <w:t>•  Use currently available non-flight-weight MSFC hardware.</w:t>
      </w:r>
    </w:p>
    <w:p>
      <w:pPr>
        <w:ind w:left="360"/>
      </w:pPr>
      <w:r>
        <w:rPr>
          <w:rFonts w:ascii="Calibri" w:hAnsi="Calibri"/>
          <w:b w:val="0"/>
          <w:i w:val="0"/>
          <w:color w:val="1A1A1A"/>
          <w:sz w:val="21"/>
        </w:rPr>
        <w:t>•  No performance or duration guarantee. Best for early hover data; not baselined for 85 s burn.</w:t>
      </w:r>
    </w:p>
    <w:p>
      <w:pPr>
        <w:ind w:left="360"/>
      </w:pPr>
      <w:r>
        <w:rPr>
          <w:rFonts w:ascii="Calibri" w:hAnsi="Calibri"/>
          <w:b w:val="0"/>
          <w:i w:val="0"/>
          <w:color w:val="1A1A1A"/>
          <w:sz w:val="21"/>
        </w:rPr>
        <w:t>•  Fastest to vehicle integration; acceptable if Exos accepts data uncertainty.</w:t>
      </w:r>
    </w:p>
    <w:p>
      <w:r>
        <w:rPr>
          <w:rFonts w:ascii="Calibri" w:hAnsi="Calibri"/>
          <w:b/>
          <w:i w:val="0"/>
          <w:color w:val="0A3D7C"/>
          <w:sz w:val="22"/>
        </w:rPr>
        <w:t>Option B — Outer-Body Retrofit</w:t>
      </w:r>
    </w:p>
    <w:p>
      <w:pPr>
        <w:ind w:left="360"/>
      </w:pPr>
      <w:r>
        <w:rPr>
          <w:rFonts w:ascii="Calibri" w:hAnsi="Calibri"/>
          <w:b w:val="0"/>
          <w:i w:val="0"/>
          <w:color w:val="1A1A1A"/>
          <w:sz w:val="21"/>
        </w:rPr>
        <w:t>•  Retain existing inner body/injectors; redesign and remanufacture outer body to match Exos 750 psi inlet condition.</w:t>
      </w:r>
    </w:p>
    <w:p>
      <w:pPr>
        <w:ind w:left="360"/>
      </w:pPr>
      <w:r>
        <w:rPr>
          <w:rFonts w:ascii="Calibri" w:hAnsi="Calibri"/>
          <w:b w:val="0"/>
          <w:i w:val="0"/>
          <w:color w:val="1A1A1A"/>
          <w:sz w:val="21"/>
        </w:rPr>
        <w:t>•  Reduces chamber pressure; requires MSFC engineering effort.</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Option B schedule: Teasley to provide estimate after seeing firm requirements.</w:t>
      </w:r>
    </w:p>
    <w:p>
      <w:r>
        <w:rPr>
          <w:rFonts w:ascii="Calibri" w:hAnsi="Calibri"/>
          <w:b/>
          <w:i w:val="0"/>
          <w:color w:val="0A3D7C"/>
          <w:sz w:val="22"/>
        </w:rPr>
        <w:t>Option C — Post-1B/1C Series Hardware</w:t>
      </w:r>
    </w:p>
    <w:p>
      <w:pPr>
        <w:ind w:left="360"/>
      </w:pPr>
      <w:r>
        <w:rPr>
          <w:rFonts w:ascii="Calibri" w:hAnsi="Calibri"/>
          <w:b w:val="0"/>
          <w:i w:val="0"/>
          <w:color w:val="1A1A1A"/>
          <w:sz w:val="21"/>
        </w:rPr>
        <w:t>•  Higher-confidence hardware available after INROADS 1B (≈Mar–May 2027) and 1C test series.</w:t>
      </w:r>
    </w:p>
    <w:p>
      <w:pPr>
        <w:ind w:left="360"/>
      </w:pPr>
      <w:r>
        <w:rPr>
          <w:rFonts w:ascii="Calibri" w:hAnsi="Calibri"/>
          <w:b w:val="0"/>
          <w:i w:val="0"/>
          <w:color w:val="1A1A1A"/>
          <w:sz w:val="21"/>
        </w:rPr>
        <w:t>•  Estimated availability: end of 2027.</w:t>
      </w:r>
    </w:p>
    <w:p>
      <w:pPr>
        <w:ind w:left="360"/>
      </w:pPr>
      <w:r>
        <w:rPr>
          <w:rFonts w:ascii="Calibri" w:hAnsi="Calibri"/>
          <w:b w:val="0"/>
          <w:i w:val="0"/>
          <w:color w:val="1A1A1A"/>
          <w:sz w:val="21"/>
        </w:rPr>
        <w:t>•  Preferred path for an 85 s burn if timeline allows.</w:t>
      </w:r>
    </w:p>
    <w:p>
      <w:r>
        <w:rPr>
          <w:rFonts w:ascii="Calibri" w:hAnsi="Calibri"/>
          <w:b/>
          <w:i w:val="0"/>
          <w:color w:val="0A3D7C"/>
          <w:sz w:val="22"/>
        </w:rPr>
        <w:t>Option D — License Current Design + Exos Build</w:t>
      </w:r>
    </w:p>
    <w:p>
      <w:pPr>
        <w:ind w:left="360"/>
      </w:pPr>
      <w:r>
        <w:rPr>
          <w:rFonts w:ascii="Calibri" w:hAnsi="Calibri"/>
          <w:b w:val="0"/>
          <w:i w:val="0"/>
          <w:color w:val="1A1A1A"/>
          <w:sz w:val="21"/>
        </w:rPr>
        <w:t>•  Exos licenses the INROADS design from NASA Tech Transfer; builds hardware in-house with DNC machining and contracted additive printing.</w:t>
      </w:r>
    </w:p>
    <w:p>
      <w:pPr>
        <w:ind w:left="360"/>
      </w:pPr>
      <w:r>
        <w:rPr>
          <w:rFonts w:ascii="Calibri" w:hAnsi="Calibri"/>
          <w:b w:val="0"/>
          <w:i w:val="0"/>
          <w:color w:val="1A1A1A"/>
          <w:sz w:val="21"/>
        </w:rPr>
        <w:t>•  Teasley coaches Exos engineering through manufacturing and post-processing.</w:t>
      </w:r>
    </w:p>
    <w:p>
      <w:pPr>
        <w:ind w:left="360"/>
      </w:pPr>
      <w:r>
        <w:rPr>
          <w:rFonts w:ascii="Calibri" w:hAnsi="Calibri"/>
          <w:b w:val="0"/>
          <w:i w:val="0"/>
          <w:color w:val="1A1A1A"/>
          <w:sz w:val="21"/>
        </w:rPr>
        <w:t>•  Estimated timeline: ~2 years to first test article (Exos-owned design).</w:t>
      </w:r>
    </w:p>
    <w:p>
      <w:pPr>
        <w:ind w:left="360"/>
      </w:pPr>
      <w:r>
        <w:rPr>
          <w:rFonts w:ascii="Calibri" w:hAnsi="Calibri"/>
          <w:b w:val="0"/>
          <w:i w:val="0"/>
          <w:color w:val="1A1A1A"/>
          <w:sz w:val="21"/>
        </w:rPr>
        <w:t>•  Exos to initiate NASA Tech Transfer contact separately from the Space Act Agreement.</w:t>
      </w:r>
    </w:p>
    <w:p>
      <w:pPr>
        <w:ind w:left="504"/>
      </w:pPr>
      <w:r>
        <w:rPr>
          <w:rFonts w:ascii="Calibri" w:hAnsi="Calibri"/>
          <w:b w:val="0"/>
          <w:i/>
          <w:color w:val="555555"/>
          <w:sz w:val="19"/>
        </w:rPr>
        <w:t>Note: Options A and B are near-term; C is preferred for flight confidence; D is the long-term Exos IP path.</w:t>
      </w:r>
    </w:p>
    <w:p>
      <w:pPr>
        <w:pBdr>
          <w:bottom w:val="single" w:sz="4" w:space="1" w:color="0A3D7C"/>
        </w:pBdr>
      </w:pPr>
    </w:p>
    <w:p>
      <w:r>
        <w:rPr>
          <w:rFonts w:ascii="Calibri" w:hAnsi="Calibri"/>
          <w:b/>
          <w:i w:val="0"/>
          <w:color w:val="0A3D7C"/>
          <w:sz w:val="26"/>
        </w:rPr>
        <w:t>6. Data Exos Will Return to NASA</w:t>
      </w:r>
    </w:p>
    <w:p>
      <w:pPr>
        <w:jc w:val="both"/>
      </w:pPr>
      <w:r>
        <w:rPr>
          <w:rFonts w:ascii="Calibri" w:hAnsi="Calibri"/>
          <w:b w:val="0"/>
          <w:i w:val="0"/>
          <w:color w:val="1A1A1A"/>
          <w:sz w:val="21"/>
        </w:rPr>
        <w:t>Exos proposes to share the following in-flight data with NASA MSFC as part of the Space Act Agreement, adding to the INROADS data set in ways not achievable from ground testing:</w:t>
      </w:r>
    </w:p>
    <w:p>
      <w:pPr>
        <w:ind w:left="360"/>
      </w:pPr>
      <w:r>
        <w:rPr>
          <w:rFonts w:ascii="Calibri" w:hAnsi="Calibri"/>
          <w:b w:val="0"/>
          <w:i w:val="0"/>
          <w:color w:val="1A1A1A"/>
          <w:sz w:val="21"/>
        </w:rPr>
        <w:t>•  In-flight loads and vibration profile at engine–vehicle interface (accelerometry, multiple axes, full burn duration).</w:t>
      </w:r>
    </w:p>
    <w:p>
      <w:pPr>
        <w:ind w:left="360"/>
      </w:pPr>
      <w:r>
        <w:rPr>
          <w:rFonts w:ascii="Calibri" w:hAnsi="Calibri"/>
          <w:b w:val="0"/>
          <w:i w:val="0"/>
          <w:color w:val="1A1A1A"/>
          <w:sz w:val="21"/>
        </w:rPr>
        <w:t>•  In-flight ISP data package: thrust vs. time, oxidizer + fuel mass flow vs. time, mixture ratio, chamber pressure, throat and expansion ratio, ambient P/T, burn duration.</w:t>
      </w:r>
    </w:p>
    <w:p>
      <w:pPr>
        <w:ind w:left="360"/>
      </w:pPr>
      <w:r>
        <w:rPr>
          <w:rFonts w:ascii="Calibri" w:hAnsi="Calibri"/>
          <w:b w:val="0"/>
          <w:i w:val="0"/>
          <w:color w:val="1A1A1A"/>
          <w:sz w:val="21"/>
        </w:rPr>
        <w:t>•  Hover-phase stability data: throttle response, engine behavior during vertical profile.</w:t>
      </w:r>
    </w:p>
    <w:p>
      <w:pPr>
        <w:ind w:left="360"/>
      </w:pPr>
      <w:r>
        <w:rPr>
          <w:rFonts w:ascii="Calibri" w:hAnsi="Calibri"/>
          <w:b w:val="0"/>
          <w:i w:val="0"/>
          <w:color w:val="1A1A1A"/>
          <w:sz w:val="21"/>
        </w:rPr>
        <w:t>•  Post-flight hardware inspection and any anomaly report.</w:t>
      </w:r>
    </w:p>
    <w:p>
      <w:pPr>
        <w:ind w:left="504"/>
      </w:pPr>
      <w:r>
        <w:rPr>
          <w:rFonts w:ascii="Calibri" w:hAnsi="Calibri"/>
          <w:b w:val="0"/>
          <w:i/>
          <w:color w:val="555555"/>
          <w:sz w:val="19"/>
        </w:rPr>
        <w:t>Note: Data return specifics to be defined in the SAA. Exos will make all in-flight data available to MSFC.</w:t>
      </w:r>
    </w:p>
    <w:p>
      <w:pPr>
        <w:pBdr>
          <w:bottom w:val="single" w:sz="4" w:space="1" w:color="0A3D7C"/>
        </w:pBdr>
      </w:pPr>
    </w:p>
    <w:p>
      <w:r>
        <w:rPr>
          <w:rFonts w:ascii="Calibri" w:hAnsi="Calibri"/>
          <w:b/>
          <w:i w:val="0"/>
          <w:color w:val="0A3D7C"/>
          <w:sz w:val="26"/>
        </w:rPr>
        <w:t>7. Vehicle Interface Requirements</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Engine mass (dry): provide with hardware option selected.</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Engine envelope (diameter × length): provide with hardware option selected.</w:t>
      </w:r>
    </w:p>
    <w:p>
      <w:pPr>
        <w:ind w:left="360"/>
      </w:pPr>
      <w:r>
        <w:rPr>
          <w:rFonts w:ascii="Calibri" w:hAnsi="Calibri"/>
          <w:b w:val="0"/>
          <w:i w:val="0"/>
          <w:color w:val="1A1A1A"/>
          <w:sz w:val="21"/>
        </w:rPr>
        <w:t>•  Mounting: Exos provides structural interface; requires MSFC bolt-pattern and load spec.</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Propellant inlet fittings / port sizes: confirm with hardware option selected.</w:t>
      </w:r>
    </w:p>
    <w:p>
      <w:pPr>
        <w:ind w:left="360"/>
      </w:pPr>
      <w:r>
        <w:rPr>
          <w:rFonts w:ascii="Calibri" w:hAnsi="Calibri"/>
          <w:b w:val="0"/>
          <w:i w:val="0"/>
          <w:color w:val="1A1A1A"/>
          <w:sz w:val="21"/>
        </w:rPr>
        <w:t>•  Ignition system: Exos to confirm ignition power/pyro requirements.</w:t>
      </w:r>
    </w:p>
    <w:p>
      <w:pPr>
        <w:ind w:left="360"/>
      </w:pPr>
      <w:r>
        <w:rPr>
          <w:rFonts w:ascii="Calibri" w:hAnsi="Calibri"/>
          <w:b w:val="0"/>
          <w:i w:val="0"/>
          <w:color w:val="1A1A1A"/>
          <w:sz w:val="21"/>
        </w:rPr>
        <w:t>•  Electrical/harness: Exos provides power and signal harness to engine; requires connector/pinout spec.</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Heat load / thermal interface: confirm max engine surface temperature during 85 s burn.</w:t>
      </w:r>
    </w:p>
    <w:p>
      <w:pPr>
        <w:ind w:left="504"/>
      </w:pPr>
      <w:r>
        <w:rPr>
          <w:rFonts w:ascii="Calibri" w:hAnsi="Calibri"/>
          <w:b w:val="0"/>
          <w:i/>
          <w:color w:val="555555"/>
          <w:sz w:val="19"/>
        </w:rPr>
        <w:t>Note: Exos has flown an active NASA vibration damper previously and has experience routing vibration-isolation hardware. Exos expects to design an isolator system once loads data book is available.</w:t>
      </w:r>
    </w:p>
    <w:p>
      <w:pPr>
        <w:pBdr>
          <w:bottom w:val="single" w:sz="4" w:space="1" w:color="0A3D7C"/>
        </w:pBdr>
      </w:pPr>
    </w:p>
    <w:p>
      <w:r>
        <w:rPr>
          <w:rFonts w:ascii="Calibri" w:hAnsi="Calibri"/>
          <w:b/>
          <w:i w:val="0"/>
          <w:color w:val="0A3D7C"/>
          <w:sz w:val="26"/>
        </w:rPr>
        <w:t>8. Schedule &amp; Budget (Indicative — TBD)</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Program budget: Exos is targeting a ~$10M program envelope for BLK3-class RDRE demo. Breakdown TBD pending hardware option selection and SAA scope.</w:t>
      </w:r>
    </w:p>
    <w:p>
      <w:pPr>
        <w:ind w:left="360"/>
      </w:pPr>
      <w:r>
        <w:rPr>
          <w:rFonts w:ascii="Calibri" w:hAnsi="Calibri"/>
          <w:b w:val="0"/>
          <w:i w:val="0"/>
          <w:color w:val="1A1A1A"/>
          <w:sz w:val="21"/>
        </w:rPr>
        <w:t xml:space="preserve">•  </w:t>
      </w:r>
      <w:r>
        <w:rPr>
          <w:rFonts w:ascii="Calibri" w:hAnsi="Calibri"/>
          <w:b/>
          <w:i w:val="0"/>
          <w:color w:val="B88600"/>
          <w:sz w:val="21"/>
        </w:rPr>
        <w:t xml:space="preserve">[TBD-Phil] </w:t>
      </w:r>
      <w:r>
        <w:rPr>
          <w:rFonts w:ascii="Calibri" w:hAnsi="Calibri"/>
          <w:b w:val="0"/>
          <w:i w:val="0"/>
          <w:color w:val="1A1A1A"/>
          <w:sz w:val="21"/>
        </w:rPr>
        <w:t>Target flight date: depends on hardware option (A/B: potentially 2026–2027; C: end-2027; D: ~2028). Phil and Neil to advise.</w:t>
      </w:r>
    </w:p>
    <w:p>
      <w:pPr>
        <w:ind w:left="360"/>
      </w:pPr>
      <w:r>
        <w:rPr>
          <w:rFonts w:ascii="Calibri" w:hAnsi="Calibri"/>
          <w:b w:val="0"/>
          <w:i w:val="0"/>
          <w:color w:val="1A1A1A"/>
          <w:sz w:val="21"/>
        </w:rPr>
        <w:t>•  Exos manufactures vehicle hardware (CF tanks, structure, GNC, flight systems) in-house; key long-lead is engine hardware.</w:t>
      </w:r>
    </w:p>
    <w:p>
      <w:pPr>
        <w:ind w:left="360"/>
      </w:pPr>
      <w:r>
        <w:rPr>
          <w:rFonts w:ascii="Calibri" w:hAnsi="Calibri"/>
          <w:b w:val="0"/>
          <w:i w:val="0"/>
          <w:color w:val="1A1A1A"/>
          <w:sz w:val="21"/>
        </w:rPr>
        <w:t>•  Exos has CNC machining in-house; will contract additive manufacturing for RDRE components if Option D selected.</w:t>
      </w:r>
    </w:p>
    <w:p>
      <w:pPr>
        <w:pBdr>
          <w:bottom w:val="single" w:sz="4" w:space="1" w:color="0A3D7C"/>
        </w:pBdr>
      </w:pPr>
    </w:p>
    <w:p>
      <w:r>
        <w:rPr>
          <w:rFonts w:ascii="Calibri" w:hAnsi="Calibri"/>
          <w:b/>
          <w:i w:val="0"/>
          <w:color w:val="0A3D7C"/>
          <w:sz w:val="26"/>
        </w:rPr>
        <w:t>9. Proposed Agreement Structure</w:t>
      </w:r>
    </w:p>
    <w:p>
      <w:pPr>
        <w:jc w:val="both"/>
      </w:pPr>
      <w:r>
        <w:rPr>
          <w:rFonts w:ascii="Calibri" w:hAnsi="Calibri"/>
          <w:b w:val="0"/>
          <w:i w:val="0"/>
          <w:color w:val="1A1A1A"/>
          <w:sz w:val="21"/>
        </w:rPr>
        <w:t>Exos proposes the following phased Space Act Agreement structure based on the 10/6 discussion:</w:t>
      </w:r>
    </w:p>
    <w:p>
      <w:pPr>
        <w:ind w:left="360"/>
      </w:pPr>
      <w:r>
        <w:rPr>
          <w:rFonts w:ascii="Calibri" w:hAnsi="Calibri"/>
          <w:b w:val="0"/>
          <w:i w:val="0"/>
          <w:color w:val="1A1A1A"/>
          <w:sz w:val="21"/>
        </w:rPr>
        <w:t>•  Umbrella Reimbursable Space Act Agreement — master vehicle with annexes for each phase.</w:t>
      </w:r>
    </w:p>
    <w:p>
      <w:pPr>
        <w:ind w:left="360"/>
      </w:pPr>
      <w:r>
        <w:rPr>
          <w:rFonts w:ascii="Calibri" w:hAnsi="Calibri"/>
          <w:b w:val="0"/>
          <w:i w:val="0"/>
          <w:color w:val="1A1A1A"/>
          <w:sz w:val="21"/>
        </w:rPr>
        <w:t>•  Annex 1: Paid Consultation — Exos reimburses NASA MSFC for Teasley's time to: review and refine this requirements document; advise on hardware options; support design reviews.</w:t>
      </w:r>
    </w:p>
    <w:p>
      <w:pPr>
        <w:ind w:left="360"/>
      </w:pPr>
      <w:r>
        <w:rPr>
          <w:rFonts w:ascii="Calibri" w:hAnsi="Calibri"/>
          <w:b w:val="0"/>
          <w:i w:val="0"/>
          <w:color w:val="1A1A1A"/>
          <w:sz w:val="21"/>
        </w:rPr>
        <w:t>•  Annex 2 (pending): Hardware delivery / retrofit scope — defined after requirements are finalized and Chris Hill approves.</w:t>
      </w:r>
    </w:p>
    <w:p>
      <w:pPr>
        <w:ind w:left="360"/>
      </w:pPr>
      <w:r>
        <w:rPr>
          <w:rFonts w:ascii="Calibri" w:hAnsi="Calibri"/>
          <w:b w:val="0"/>
          <w:i w:val="0"/>
          <w:color w:val="1A1A1A"/>
          <w:sz w:val="21"/>
        </w:rPr>
        <w:t>•  Annex 3 (pending): Data sharing / publication rights — in-flight data made available to MSFC; any publications co-credited per NASA policy.</w:t>
      </w:r>
    </w:p>
    <w:p>
      <w:pPr>
        <w:ind w:left="504"/>
      </w:pPr>
      <w:r>
        <w:rPr>
          <w:rFonts w:ascii="Calibri" w:hAnsi="Calibri"/>
          <w:b w:val="0"/>
          <w:i/>
          <w:color w:val="555555"/>
          <w:sz w:val="19"/>
        </w:rPr>
        <w:t>Note: Exos must separately contact NASA Tech Transfer for any IP license under Option D. This SAA does not confer an IP license — that is a parallel process.</w:t>
      </w:r>
    </w:p>
    <w:p>
      <w:pPr>
        <w:pBdr>
          <w:bottom w:val="single" w:sz="4" w:space="1" w:color="0A3D7C"/>
        </w:pBdr>
      </w:pPr>
    </w:p>
    <w:p>
      <w:r>
        <w:rPr>
          <w:rFonts w:ascii="Calibri" w:hAnsi="Calibri"/>
          <w:b/>
          <w:i w:val="0"/>
          <w:color w:val="0A3D7C"/>
          <w:sz w:val="26"/>
        </w:rPr>
        <w:t>Submitted by</w:t>
      </w:r>
    </w:p>
    <w:p/>
    <w:p>
      <w:r>
        <w:rPr>
          <w:rFonts w:ascii="Calibri" w:hAnsi="Calibri"/>
          <w:b/>
          <w:i w:val="0"/>
          <w:color w:val="1A1A1A"/>
          <w:sz w:val="21"/>
        </w:rPr>
        <w:t>John Quinn</w:t>
      </w:r>
    </w:p>
    <w:p>
      <w:r>
        <w:rPr>
          <w:rFonts w:ascii="Calibri" w:hAnsi="Calibri"/>
          <w:b w:val="0"/>
          <w:i w:val="0"/>
          <w:color w:val="1A1A1A"/>
          <w:sz w:val="21"/>
        </w:rPr>
        <w:t>Cofounder &amp; CEO, Exos Aerospace Systems &amp; Technologies, Inc.</w:t>
      </w:r>
    </w:p>
    <w:p>
      <w:r>
        <w:rPr>
          <w:rFonts w:ascii="Calibri" w:hAnsi="Calibri"/>
          <w:b w:val="0"/>
          <w:i w:val="0"/>
          <w:color w:val="1A1A1A"/>
          <w:sz w:val="21"/>
        </w:rPr>
        <w:t>299 FM 1903, Greenville, TX 75402</w:t>
      </w:r>
    </w:p>
    <w:p>
      <w:r>
        <w:rPr>
          <w:rFonts w:ascii="Calibri" w:hAnsi="Calibri"/>
          <w:b w:val="0"/>
          <w:i w:val="0"/>
          <w:color w:val="1A1A1A"/>
          <w:sz w:val="21"/>
        </w:rPr>
        <w:t>jquinn@exosaero.com  |  (430) 966-4005  |  www.exosaero.com</w:t>
      </w:r>
    </w:p>
    <w:p/>
    <w:p>
      <w:pPr>
        <w:jc w:val="center"/>
      </w:pPr>
      <w:r>
        <w:rPr>
          <w:rFonts w:ascii="Calibri" w:hAnsi="Calibri"/>
          <w:b/>
          <w:i w:val="0"/>
          <w:color w:val="CC0000"/>
          <w:sz w:val="22"/>
        </w:rPr>
        <w:t>⚠  DRAFT — NOT FOR RELEASE — Pending Jon Quinn Approval  ⚠</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