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 w:line="220" w:lineRule="exact"/>
        <w:jc w:val="center"/>
      </w:pPr>
      <w:r>
        <w:rPr>
          <w:b/>
          <w:i w:val="0"/>
          <w:color w:val="1B3A5C"/>
          <w:sz w:val="26"/>
        </w:rPr>
        <w:t>EXOS AEROSPACE &amp; SCORPIUS SPACE LAUNCH COMPANY</w:t>
      </w:r>
    </w:p>
    <w:p>
      <w:pPr>
        <w:spacing w:before="0" w:after="120" w:line="220" w:lineRule="exact"/>
        <w:jc w:val="center"/>
      </w:pPr>
      <w:r>
        <w:rPr>
          <w:b/>
          <w:i w:val="0"/>
          <w:color w:val="404040"/>
          <w:sz w:val="20"/>
        </w:rPr>
        <w:t>Company Overview</w:t>
      </w:r>
    </w:p>
    <w:p>
      <w:pPr>
        <w:spacing w:before="120" w:after="40" w:line="220" w:lineRule="exact"/>
        <w:pBdr>
          <w:bottom w:val="single" w:sz="4" w:space="1" w:color="1B3A5C"/>
        </w:pBdr>
      </w:pPr>
      <w:r>
        <w:rPr>
          <w:b/>
          <w:i w:val="0"/>
          <w:color w:val="1B3A5C"/>
          <w:sz w:val="20"/>
        </w:rPr>
        <w:t>Exos Aerospace Systems &amp; Technologies, Inc.</w:t>
      </w:r>
    </w:p>
    <w:p>
      <w:pPr>
        <w:spacing w:before="0" w:after="40" w:line="220" w:lineRule="exact"/>
      </w:pPr>
      <w:r>
        <w:rPr>
          <w:b w:val="0"/>
          <w:i w:val="0"/>
          <w:color w:val="222222"/>
          <w:sz w:val="17"/>
        </w:rPr>
        <w:t>Vertically integrated aerospace company (est. 2014, Greenville, TX) that designs, manufactures, and operates reusable suborbital launch vehicles. One of only three U.S. companies holding FAA reusable launch licenses. Active USAF and NASA contracts. The only U.S. company currently selling suborbital payload services on a reusable platform.</w:t>
      </w:r>
    </w:p>
    <w:p>
      <w:pPr>
        <w:spacing w:before="60" w:after="20" w:line="210" w:lineRule="exact"/>
      </w:pPr>
      <w:r>
        <w:rPr>
          <w:b/>
          <w:color w:val="1B3A5C"/>
          <w:sz w:val="17"/>
        </w:rPr>
        <w:t xml:space="preserve">BLK3 PSRLV  </w:t>
      </w:r>
      <w:r>
        <w:rPr>
          <w:color w:val="222222"/>
          <w:sz w:val="17"/>
        </w:rPr>
        <w:t>FAA-licensed reusable suborbital vehicle — flight test, payload qualification, microgravity, and reentry environments with payload recovery. Rapid turnaround capability.</w:t>
      </w:r>
    </w:p>
    <w:p>
      <w:pPr>
        <w:spacing w:before="20" w:after="20" w:line="210" w:lineRule="exact"/>
      </w:pPr>
      <w:r>
        <w:rPr>
          <w:b/>
          <w:color w:val="1B3A5C"/>
          <w:sz w:val="17"/>
        </w:rPr>
        <w:t xml:space="preserve">RDRE Propulsion  </w:t>
      </w:r>
      <w:r>
        <w:rPr>
          <w:color w:val="222222"/>
          <w:sz w:val="17"/>
        </w:rPr>
        <w:t>Active USAF contract (FA930025C6022) + NASA MSFC Data Usage Agreement for Rotating Detonation Rocket Engine integration and flight test on BLK3 VTVL platform.</w:t>
      </w:r>
    </w:p>
    <w:p>
      <w:pPr>
        <w:spacing w:before="20" w:after="20" w:line="210" w:lineRule="exact"/>
      </w:pPr>
      <w:r>
        <w:rPr>
          <w:b/>
          <w:color w:val="1B3A5C"/>
          <w:sz w:val="17"/>
        </w:rPr>
        <w:t xml:space="preserve">Payload Services  </w:t>
      </w:r>
      <w:r>
        <w:rPr>
          <w:color w:val="222222"/>
          <w:sz w:val="17"/>
        </w:rPr>
        <w:t>Wet-lease rocket capability, flight test, and hardware qualification for government and commercial customers de-risking before orbital commitment.</w:t>
      </w:r>
    </w:p>
    <w:p>
      <w:pPr>
        <w:spacing w:before="60" w:after="40" w:line="220" w:lineRule="exact"/>
      </w:pPr>
      <w:r>
        <w:rPr>
          <w:b w:val="0"/>
          <w:i/>
          <w:color w:val="404040"/>
          <w:sz w:val="15"/>
        </w:rPr>
        <w:t>SAM.gov: UEI CK24BPZGF854 | CAGE: 7EMY6 | Small Business / NDC | JCP Certified | CMMC 2.0 L2 in progress</w:t>
      </w:r>
    </w:p>
    <w:p>
      <w:pPr>
        <w:spacing w:before="120" w:after="40" w:line="220" w:lineRule="exact"/>
        <w:pBdr>
          <w:bottom w:val="single" w:sz="4" w:space="1" w:color="1B3A5C"/>
        </w:pBdr>
      </w:pPr>
      <w:r>
        <w:rPr>
          <w:b/>
          <w:i w:val="0"/>
          <w:color w:val="1B3A5C"/>
          <w:sz w:val="20"/>
        </w:rPr>
        <w:t>Scorpius Space Launch Company</w:t>
      </w:r>
    </w:p>
    <w:p>
      <w:pPr>
        <w:spacing w:before="0" w:after="40" w:line="220" w:lineRule="exact"/>
      </w:pPr>
      <w:r>
        <w:rPr>
          <w:b w:val="0"/>
          <w:i w:val="0"/>
          <w:color w:val="222222"/>
          <w:sz w:val="17"/>
        </w:rPr>
        <w:t>Cryogenic systems engineering company and Exos affiliate (Exos holds 18% equity with Right of First Refusal on the remaining 82%). Scorpius technology is delivered through Exos's contracting vehicles and compliance framework.</w:t>
      </w:r>
    </w:p>
    <w:p>
      <w:pPr>
        <w:spacing w:before="60" w:after="20" w:line="210" w:lineRule="exact"/>
      </w:pPr>
      <w:r>
        <w:rPr>
          <w:b/>
          <w:color w:val="1B3A5C"/>
          <w:sz w:val="17"/>
        </w:rPr>
        <w:t xml:space="preserve">Type 5 Cryogenic Tanks  </w:t>
      </w:r>
      <w:r>
        <w:rPr>
          <w:color w:val="222222"/>
          <w:sz w:val="17"/>
        </w:rPr>
        <w:t>Proprietary linerless composite cryogenic pressure vessels — believed to be the only TRL 9 Type 5 tank technology with demonstrated lunar surface heritage. Flew as fuel and LOX tanks on Intuitive Machines Odysseus and Athena lunar landers.</w:t>
      </w:r>
    </w:p>
    <w:p>
      <w:pPr>
        <w:spacing w:before="20" w:after="20" w:line="210" w:lineRule="exact"/>
      </w:pPr>
      <w:r>
        <w:rPr>
          <w:b/>
          <w:color w:val="1B3A5C"/>
          <w:sz w:val="17"/>
        </w:rPr>
        <w:t xml:space="preserve">RT-Cure Resin System  </w:t>
      </w:r>
      <w:r>
        <w:rPr>
          <w:color w:val="222222"/>
          <w:sz w:val="17"/>
        </w:rPr>
        <w:t>Proprietary room-temperature cure resin eliminates autoclave-induced thermal stresses — test data shows no microcracking at cryogenic temperatures.</w:t>
      </w:r>
    </w:p>
    <w:p>
      <w:pPr>
        <w:spacing w:before="20" w:after="20" w:line="210" w:lineRule="exact"/>
      </w:pPr>
      <w:r>
        <w:rPr>
          <w:b/>
          <w:color w:val="1B3A5C"/>
          <w:sz w:val="17"/>
        </w:rPr>
        <w:t xml:space="preserve">Applications  </w:t>
      </w:r>
      <w:r>
        <w:rPr>
          <w:color w:val="222222"/>
          <w:sz w:val="17"/>
        </w:rPr>
        <w:t>In-space refueling depots, launch vehicle tankage, long-duration cryogenic storage, propellant transfer systems, cislunar architecture.</w:t>
      </w:r>
    </w:p>
    <w:p>
      <w:pPr>
        <w:spacing w:before="120" w:after="40" w:line="220" w:lineRule="exact"/>
        <w:pBdr>
          <w:bottom w:val="single" w:sz="4" w:space="1" w:color="1B3A5C"/>
        </w:pBdr>
      </w:pPr>
      <w:r>
        <w:rPr>
          <w:b/>
          <w:i w:val="0"/>
          <w:color w:val="1B3A5C"/>
          <w:sz w:val="20"/>
        </w:rPr>
        <w:t>Combined Strategic Position</w:t>
      </w:r>
    </w:p>
    <w:p>
      <w:pPr>
        <w:spacing w:before="0" w:after="40" w:line="220" w:lineRule="exact"/>
      </w:pPr>
      <w:r>
        <w:rPr>
          <w:b w:val="0"/>
          <w:i w:val="0"/>
          <w:color w:val="222222"/>
          <w:sz w:val="17"/>
        </w:rPr>
        <w:t>Together, Exos and Scorpius offer an integrated reusable space logistics capability: Exos provides the flight platform, launch operations, and government contracting infrastructure; Scorpius provides the cryogenic storage and propellant management technology that enables in-space operations. The combined entity addresses the full chain from suborbital flight test through orbital depot architecture.</w:t>
      </w:r>
    </w:p>
    <w:p>
      <w:pPr>
        <w:spacing w:before="60" w:after="20" w:line="210" w:lineRule="exact"/>
      </w:pPr>
      <w:r>
        <w:rPr>
          <w:b/>
          <w:color w:val="1B3A5C"/>
          <w:sz w:val="17"/>
        </w:rPr>
        <w:t xml:space="preserve">Customers &amp; Partners:  </w:t>
      </w:r>
      <w:r>
        <w:rPr>
          <w:color w:val="222222"/>
          <w:sz w:val="17"/>
        </w:rPr>
        <w:t>USAF (RDRE contract) · NASA MSFC (DUA) · entX/Australia · Space COTAN/Japan · Intuitive Machines (lunar heritage) · Exos Aerospace Italia (Turin)</w:t>
      </w:r>
    </w:p>
    <w:p>
      <w:pPr>
        <w:spacing w:before="120" w:after="20" w:line="220" w:lineRule="exact"/>
      </w:pPr>
      <w:r>
        <w:rPr>
          <w:b w:val="0"/>
          <w:i w:val="0"/>
          <w:color w:val="404040"/>
          <w:sz w:val="18"/>
        </w:rPr>
        <w:t>——</w:t>
      </w:r>
    </w:p>
    <w:p>
      <w:pPr>
        <w:spacing w:before="0" w:after="0" w:line="220" w:lineRule="exact"/>
      </w:pPr>
      <w:r>
        <w:rPr>
          <w:b w:val="0"/>
          <w:i/>
          <w:color w:val="404040"/>
          <w:sz w:val="15"/>
        </w:rPr>
        <w:t>John Quinn, Cofounder &amp; CEO  |  jquinn@exosaero.com  |  +1-972-740-8355  |  299 FM 1903, Greenville, TX 75402  |  www.exosaero.com</w:t>
      </w:r>
    </w:p>
    <w:p>
      <w:r>
        <w:rPr>
          <w:b/>
          <w:color w:val="0B2A4A"/>
          <w:sz w:val="30"/>
        </w:rPr>
        <w:t>Four Core Assets</w:t>
      </w:r>
    </w:p>
    <w:p>
      <w:r>
        <w:rPr>
          <w:b/>
        </w:rPr>
        <w:t xml:space="preserve">1: Scorpius Type-5 cryo IP + ROFR — </w:t>
      </w:r>
      <w:r>
        <w:t>TRL-9 linerless composite cryogenic tanks, flight-proven on Intuitive Machines' IM-1 and IM-2. Exos holds 18% plus a right of first refusal at the 2021 basis.</w:t>
      </w:r>
    </w:p>
    <w:p>
      <w:r>
        <w:rPr>
          <w:b/>
        </w:rPr>
        <w:t xml:space="preserve">2: Reusable suborbital platform — </w:t>
      </w:r>
      <w:r>
        <w:t>BLK3 — one of only three FAA-licensed reusable rocket launch providers in the U.S.</w:t>
      </w:r>
    </w:p>
    <w:p>
      <w:r>
        <w:rPr>
          <w:b/>
        </w:rPr>
        <w:t xml:space="preserve">3: RDRE / advanced propulsion — </w:t>
      </w:r>
      <w:r>
        <w:t>Active USAF SBIR Phase II on a government-furnished RDRE, opening a sole-source Phase III path with no dollar ceiling.</w:t>
      </w:r>
    </w:p>
    <w:p>
      <w:r>
        <w:rPr>
          <w:b/>
        </w:rPr>
        <w:t xml:space="preserve">4: AI-deployed operating platform — </w:t>
      </w:r>
      <w:r>
        <w:t>Mission Control plus a governed agent fleet run the business — a compounding, owned decision-and-audit-trail asset; capital-efficient and ITAR/CUI-safe.</w:t>
      </w:r>
    </w:p>
    <w:p>
      <w:r>
        <w:rPr>
          <w:i/>
          <w:sz w:val="18"/>
        </w:rPr>
        <w:t>Assets 1–3 are the hardware and IP; #4 is the operating system that compounds them — management-characterized, a moat, not a separate line item. Single valuation of record: $169.7M.</w:t>
      </w:r>
    </w:p>
    <w:sectPr w:rsidR="00D02269" w:rsidRPr="007C623E" w:rsidSect="006E0F85">
      <w:headerReference w:type="default" r:id="rId11"/>
      <w:footerReference w:type="default" r:id="rId12"/>
      <w:pgSz w:w="12240" w:h="15840"/>
      <w:pgMar w:top="1440"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E1B8A" w14:textId="77777777" w:rsidR="003834E3" w:rsidRDefault="003834E3" w:rsidP="00A00680">
      <w:r>
        <w:separator/>
      </w:r>
    </w:p>
  </w:endnote>
  <w:endnote w:type="continuationSeparator" w:id="0">
    <w:p w14:paraId="53B84B70" w14:textId="77777777" w:rsidR="003834E3" w:rsidRDefault="003834E3"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669555DB" w:rsidR="00153AFE" w:rsidRDefault="00153AFE" w:rsidP="00153AFE">
    <w:pPr>
      <w:pStyle w:val="Footer"/>
    </w:pPr>
    <w:r>
      <w:rPr>
        <w:noProof/>
      </w:rPr>
      <w:drawing>
        <wp:anchor distT="0" distB="0" distL="114300" distR="114300" simplePos="0" relativeHeight="251660288" behindDoc="1" locked="0" layoutInCell="1" allowOverlap="1" wp14:anchorId="77387259" wp14:editId="35CDD2D9">
          <wp:simplePos x="0" y="0"/>
          <wp:positionH relativeFrom="page">
            <wp:align>right</wp:align>
          </wp:positionH>
          <wp:positionV relativeFrom="paragraph">
            <wp:posOffset>-67945</wp:posOffset>
          </wp:positionV>
          <wp:extent cx="6492240" cy="1063625"/>
          <wp:effectExtent l="0" t="0" r="0" b="3175"/>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6492240" cy="1063625"/>
                  </a:xfrm>
                  <a:prstGeom prst="rect">
                    <a:avLst/>
                  </a:prstGeom>
                </pic:spPr>
              </pic:pic>
            </a:graphicData>
          </a:graphic>
          <wp14:sizeRelH relativeFrom="page">
            <wp14:pctWidth>0</wp14:pctWidth>
          </wp14:sizeRelH>
          <wp14:sizeRelV relativeFrom="page">
            <wp14:pctHeight>0</wp14:pctHeight>
          </wp14:sizeRelV>
        </wp:anchor>
      </w:drawing>
    </w:r>
  </w:p>
  <w:p w14:paraId="7E53FDB1" w14:textId="77777777" w:rsidR="00153AFE" w:rsidRPr="00AD1D32" w:rsidRDefault="00153AFE" w:rsidP="00153AFE">
    <w:pPr>
      <w:pStyle w:val="Footer"/>
    </w:pPr>
  </w:p>
  <w:p w14:paraId="5BED68FB" w14:textId="77777777" w:rsidR="00153AFE" w:rsidRDefault="00153AFE" w:rsidP="00B779D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2F50B" w14:textId="77777777" w:rsidR="003834E3" w:rsidRDefault="003834E3" w:rsidP="00A00680">
      <w:r>
        <w:separator/>
      </w:r>
    </w:p>
  </w:footnote>
  <w:footnote w:type="continuationSeparator" w:id="0">
    <w:p w14:paraId="29351BEA" w14:textId="77777777" w:rsidR="003834E3" w:rsidRDefault="003834E3"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4A8A1DDC" w:rsidR="00A00680" w:rsidRDefault="000E6BAA" w:rsidP="00D02269">
    <w:pPr>
      <w:pStyle w:val="Header"/>
      <w:tabs>
        <w:tab w:val="right" w:pos="4680"/>
      </w:tabs>
      <w:jc w:val="right"/>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0ADAEF45">
          <wp:simplePos x="0" y="0"/>
          <wp:positionH relativeFrom="column">
            <wp:posOffset>-904240</wp:posOffset>
          </wp:positionH>
          <wp:positionV relativeFrom="paragraph">
            <wp:posOffset>-467360</wp:posOffset>
          </wp:positionV>
          <wp:extent cx="5943600" cy="1227455"/>
          <wp:effectExtent l="0" t="0" r="0" b="4445"/>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5943600" cy="1227455"/>
                  </a:xfrm>
                  <a:prstGeom prst="rect">
                    <a:avLst/>
                  </a:prstGeom>
                </pic:spPr>
              </pic:pic>
            </a:graphicData>
          </a:graphic>
          <wp14:sizeRelH relativeFrom="page">
            <wp14:pctWidth>0</wp14:pctWidth>
          </wp14:sizeRelH>
          <wp14:sizeRelV relativeFrom="page">
            <wp14:pctHeight>0</wp14:pctHeight>
          </wp14:sizeRelV>
        </wp:anchor>
      </w:drawing>
    </w:r>
    <w:r w:rsidRPr="000E6BAA">
      <w:rPr>
        <w:rFonts w:ascii="Tahoma" w:hAnsi="Tahoma" w:cs="Tahoma"/>
        <w:color w:val="808080" w:themeColor="background1" w:themeShade="80"/>
      </w:rPr>
      <w:t xml:space="preserve">299 </w:t>
    </w:r>
    <w:r>
      <w:rPr>
        <w:rFonts w:ascii="Tahoma" w:hAnsi="Tahoma" w:cs="Tahoma"/>
        <w:color w:val="808080" w:themeColor="background1" w:themeShade="80"/>
      </w:rPr>
      <w:t>FM 1903 Greenville, TX. 75402</w:t>
    </w:r>
  </w:p>
  <w:p w14:paraId="2FA86B3F" w14:textId="77224C8A" w:rsidR="000E6BAA" w:rsidRDefault="00633CFF" w:rsidP="000E6BAA">
    <w:pPr>
      <w:pStyle w:val="Header"/>
      <w:jc w:val="right"/>
      <w:rPr>
        <w:rFonts w:ascii="Tahoma" w:hAnsi="Tahoma" w:cs="Tahoma"/>
        <w:color w:val="808080" w:themeColor="background1" w:themeShade="80"/>
      </w:rPr>
    </w:pPr>
    <w:r>
      <w:rPr>
        <w:rFonts w:ascii="Tahoma" w:hAnsi="Tahoma" w:cs="Tahoma"/>
        <w:color w:val="808080" w:themeColor="background1" w:themeShade="80"/>
      </w:rPr>
      <w:t>www.</w:t>
    </w:r>
    <w:r w:rsidR="000E6BAA">
      <w:rPr>
        <w:rFonts w:ascii="Tahoma" w:hAnsi="Tahoma" w:cs="Tahoma"/>
        <w:color w:val="808080" w:themeColor="background1" w:themeShade="80"/>
      </w:rPr>
      <w:t>exosaero.com</w:t>
    </w:r>
  </w:p>
  <w:p w14:paraId="77BB0A6B" w14:textId="1234CAD0" w:rsidR="000E6BAA" w:rsidRPr="000E6BAA" w:rsidRDefault="000E6BAA" w:rsidP="000E6BAA">
    <w:pPr>
      <w:pStyle w:val="Header"/>
      <w:jc w:val="right"/>
      <w:rPr>
        <w:rFonts w:ascii="Tahoma" w:hAnsi="Tahoma" w:cs="Tahoma"/>
        <w:color w:val="808080" w:themeColor="background1" w:themeShade="80"/>
      </w:rPr>
    </w:pPr>
    <w:r>
      <w:rPr>
        <w:rFonts w:ascii="Tahoma" w:hAnsi="Tahoma" w:cs="Tahoma"/>
        <w:color w:val="808080" w:themeColor="background1" w:themeShade="80"/>
      </w:rPr>
      <w:t>info@exosaero.com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BAA"/>
    <w:rsid w:val="001316D3"/>
    <w:rsid w:val="00153AFE"/>
    <w:rsid w:val="00166FF3"/>
    <w:rsid w:val="001C45E9"/>
    <w:rsid w:val="001C5A7E"/>
    <w:rsid w:val="001F4FE4"/>
    <w:rsid w:val="001F5095"/>
    <w:rsid w:val="00255B59"/>
    <w:rsid w:val="00265C2B"/>
    <w:rsid w:val="0029014E"/>
    <w:rsid w:val="002A2DC3"/>
    <w:rsid w:val="002A5D3B"/>
    <w:rsid w:val="00317CDE"/>
    <w:rsid w:val="00347922"/>
    <w:rsid w:val="003834E3"/>
    <w:rsid w:val="00432689"/>
    <w:rsid w:val="0045462F"/>
    <w:rsid w:val="00454EA1"/>
    <w:rsid w:val="00460E09"/>
    <w:rsid w:val="004B0C4B"/>
    <w:rsid w:val="005C3232"/>
    <w:rsid w:val="005C77DB"/>
    <w:rsid w:val="00633CFF"/>
    <w:rsid w:val="00680BDE"/>
    <w:rsid w:val="006E0F85"/>
    <w:rsid w:val="00714763"/>
    <w:rsid w:val="007C623E"/>
    <w:rsid w:val="008519E3"/>
    <w:rsid w:val="008D5214"/>
    <w:rsid w:val="008E1AFE"/>
    <w:rsid w:val="00905EFA"/>
    <w:rsid w:val="00961AC9"/>
    <w:rsid w:val="0098334F"/>
    <w:rsid w:val="009A7969"/>
    <w:rsid w:val="00A00680"/>
    <w:rsid w:val="00A21352"/>
    <w:rsid w:val="00A4282A"/>
    <w:rsid w:val="00A474CA"/>
    <w:rsid w:val="00AC6C96"/>
    <w:rsid w:val="00AF12DB"/>
    <w:rsid w:val="00B779D5"/>
    <w:rsid w:val="00B9321D"/>
    <w:rsid w:val="00C321D3"/>
    <w:rsid w:val="00C8460F"/>
    <w:rsid w:val="00D02269"/>
    <w:rsid w:val="00D82768"/>
    <w:rsid w:val="00DA7C10"/>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before="0"/>
    </w:pPr>
    <w:rPr>
      <w:rFonts w:ascii="Calibri" w:hAnsi="Calibr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semiHidden/>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c09950c259e5d87915ff701be3dfa6b1">
  <xsd:schema xmlns:xsd="http://www.w3.org/2001/XMLSchema" xmlns:xs="http://www.w3.org/2001/XMLSchema" xmlns:p="http://schemas.microsoft.com/office/2006/metadata/properties" xmlns:ns2="e1558a10-1879-455f-b4fa-cfdedf85505e" targetNamespace="http://schemas.microsoft.com/office/2006/metadata/properties" ma:root="true" ma:fieldsID="c86ac627cc724fbab15d66a61f4e1c47"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38FABD-2EB8-4C41-9791-D9CBE1419BD7}">
  <ds:schemaRefs>
    <ds:schemaRef ds:uri="http://schemas.microsoft.com/sharepoint/v3/contenttype/forms"/>
  </ds:schemaRefs>
</ds:datastoreItem>
</file>

<file path=customXml/itemProps2.xml><?xml version="1.0" encoding="utf-8"?>
<ds:datastoreItem xmlns:ds="http://schemas.openxmlformats.org/officeDocument/2006/customXml" ds:itemID="{1B7CDA3B-F31A-4C14-B755-2A71143799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4.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21</cp:revision>
  <dcterms:created xsi:type="dcterms:W3CDTF">2025-08-23T21:06:00Z</dcterms:created>
  <dcterms:modified xsi:type="dcterms:W3CDTF">2025-11-03T13:32:00Z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