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6CA64" w14:textId="77777777" w:rsidR="0033644C" w:rsidRPr="0033644C" w:rsidRDefault="0033644C" w:rsidP="0033644C">
      <w:pPr>
        <w:rPr>
          <w:b/>
          <w:bCs/>
        </w:rPr>
      </w:pPr>
      <w:r w:rsidRPr="0033644C">
        <w:rPr>
          <w:b/>
          <w:bCs/>
        </w:rPr>
        <w:t>Executive Summary: Exos Aerospace Integrated Test Plan</w:t>
      </w:r>
    </w:p>
    <w:p w14:paraId="057F3C84" w14:textId="77777777" w:rsidR="0033644C" w:rsidRPr="0033644C" w:rsidRDefault="0033644C" w:rsidP="0033644C">
      <w:pPr>
        <w:rPr>
          <w:b/>
          <w:bCs/>
        </w:rPr>
      </w:pPr>
      <w:r w:rsidRPr="0033644C">
        <w:rPr>
          <w:b/>
          <w:bCs/>
        </w:rPr>
        <w:t>Scorpius Acquisition, BLK3 Flight, and Next-Generation Propulsion Trade Study</w:t>
      </w:r>
    </w:p>
    <w:p w14:paraId="7D4153CA" w14:textId="77777777" w:rsidR="0033644C" w:rsidRPr="0033644C" w:rsidRDefault="0033644C" w:rsidP="0033644C">
      <w:pPr>
        <w:rPr>
          <w:b/>
          <w:bCs/>
        </w:rPr>
      </w:pPr>
      <w:r w:rsidRPr="0033644C">
        <w:rPr>
          <w:b/>
          <w:bCs/>
        </w:rPr>
        <w:pict w14:anchorId="04FB1862">
          <v:rect id="_x0000_i1067" style="width:0;height:1.5pt" o:hralign="center" o:hrstd="t" o:hr="t" fillcolor="#a0a0a0" stroked="f"/>
        </w:pict>
      </w:r>
    </w:p>
    <w:p w14:paraId="4E38634B" w14:textId="77777777" w:rsidR="0033644C" w:rsidRPr="0033644C" w:rsidRDefault="0033644C" w:rsidP="0033644C">
      <w:pPr>
        <w:rPr>
          <w:b/>
          <w:bCs/>
        </w:rPr>
      </w:pPr>
      <w:r w:rsidRPr="0033644C">
        <w:rPr>
          <w:b/>
          <w:bCs/>
        </w:rPr>
        <w:t>Overview</w:t>
      </w:r>
    </w:p>
    <w:p w14:paraId="64461846" w14:textId="77777777" w:rsidR="0033644C" w:rsidRPr="0033644C" w:rsidRDefault="0033644C" w:rsidP="0033644C">
      <w:pPr>
        <w:rPr>
          <w:b/>
          <w:bCs/>
        </w:rPr>
      </w:pPr>
      <w:r w:rsidRPr="0033644C">
        <w:rPr>
          <w:b/>
          <w:bCs/>
        </w:rPr>
        <w:t>Exos Aerospace is establishing a unified roadmap toward test-only orbital transfer vehicle (OTV) capability. The problem: real reusability needs structures with far fewer parts that still survive repeated cryogenic pressure cycles and launch loads — exactly where composites have historically failed, by microcracking in the cold. The platform combines Exos's reusable suborbital rocket fleet and Integrated Pressurized Structures (IPS) — built on Moon-proven Type-V composite cryogenic tanks from Scorpius Space Launch Company (SSLC), in which Exos owns 18% today — with a next-generation propulsion path (a ~5,800 lbf-class Rotating Detonation Rocket Engine) selected through a structured trade study (NASA MSFC license vs. GTL machined method). Scorpius's TRL-9 tanks flew on Intuitive Machines' Odysseus and Athena lunar landers, and its tank technology has made its first tank sale for an orbital transfer vehicle. Exos is completing its acquisition of Scorpius to bring this composite cryogenic tank technology fully in-house.</w:t>
      </w:r>
      <w:proofErr w:type="spellStart"/>
      <w:r w:rsidRPr="0033644C">
        <w:rPr>
          <w:b/>
          <w:bCs/>
        </w:rPr>
      </w:r>
      <w:proofErr w:type="spellEnd"/>
      <w:r w:rsidRPr="0033644C">
        <w:rPr>
          <w:b/>
          <w:bCs/>
        </w:rPr>
      </w:r>
      <w:proofErr w:type="spellStart"/>
      <w:r w:rsidRPr="0033644C">
        <w:rPr>
          <w:b/>
          <w:bCs/>
        </w:rPr>
      </w:r>
      <w:proofErr w:type="spellEnd"/>
      <w:r w:rsidRPr="0033644C">
        <w:rPr>
          <w:b/>
          <w:bCs/>
        </w:rPr>
      </w:r>
    </w:p>
    <w:p w14:paraId="701E2213" w14:textId="77777777" w:rsidR="0033644C" w:rsidRPr="0033644C" w:rsidRDefault="0033644C" w:rsidP="0033644C">
      <w:pPr>
        <w:rPr>
          <w:b/>
          <w:bCs/>
        </w:rPr>
      </w:pPr>
      <w:r w:rsidRPr="0033644C">
        <w:rPr>
          <w:b/>
          <w:bCs/>
        </w:rPr>
        <w:t xml:space="preserve">As a future, gated orbital path (not funded by the Series A), the program envisions a BLK4 RDRE Test-Only OTV, deployed via rideshare missions on SpaceX Falcon 9 (Transporter), Rocket Lab Electron, or Firefly Alpha. </w:t>
      </w:r>
      <w:proofErr w:type="spellStart"/>
      <w:r w:rsidRPr="0033644C">
        <w:rPr>
          <w:b/>
          <w:bCs/>
        </w:rPr>
        <w:t>Exos’s</w:t>
      </w:r>
      <w:proofErr w:type="spellEnd"/>
      <w:r w:rsidRPr="0033644C">
        <w:rPr>
          <w:b/>
          <w:bCs/>
        </w:rPr>
        <w:t xml:space="preserve"> suborbital rockets will serve as testbeds for RDRE-powered orbital components—reducing risk, validating subsystems in flight, and bridging to orbital operations without requiring new launch vehicle development.</w:t>
      </w:r>
    </w:p>
    <w:p w14:paraId="4F0E1B47" w14:textId="77777777" w:rsidR="0033644C" w:rsidRPr="0033644C" w:rsidRDefault="0033644C" w:rsidP="0033644C">
      <w:pPr>
        <w:rPr>
          <w:b/>
          <w:bCs/>
        </w:rPr>
      </w:pPr>
      <w:r w:rsidRPr="0033644C">
        <w:rPr>
          <w:b/>
          <w:bCs/>
        </w:rPr>
        <w:pict w14:anchorId="2FE3293D">
          <v:rect id="_x0000_i1068" style="width:0;height:1.5pt" o:hralign="center" o:hrstd="t" o:hr="t" fillcolor="#a0a0a0" stroked="f"/>
        </w:pict>
      </w:r>
    </w:p>
    <w:p w14:paraId="6B394DAE" w14:textId="77777777" w:rsidR="0033644C" w:rsidRPr="0033644C" w:rsidRDefault="0033644C" w:rsidP="0033644C">
      <w:pPr>
        <w:rPr>
          <w:b/>
          <w:bCs/>
        </w:rPr>
      </w:pPr>
      <w:r w:rsidRPr="0033644C">
        <w:rPr>
          <w:b/>
          <w:bCs/>
        </w:rPr>
        <w:t>Strategic Objectives</w:t>
      </w:r>
    </w:p>
    <w:p w14:paraId="1065F2B7" w14:textId="77777777" w:rsidR="0033644C" w:rsidRPr="0033644C" w:rsidRDefault="0033644C" w:rsidP="0033644C">
      <w:pPr>
        <w:numPr>
          <w:ilvl w:val="0"/>
          <w:numId w:val="21"/>
        </w:numPr>
        <w:rPr>
          <w:b/>
          <w:bCs/>
        </w:rPr>
      </w:pPr>
      <w:r w:rsidRPr="0033644C">
        <w:rPr>
          <w:b/>
          <w:bCs/>
        </w:rPr>
        <w:t>Advance Next-Generation Propulsion via a Structured Trade Study: down-select the methane/oxygen RDRE path (NASA MSFC license or GTL machined method) and flight-test it on Exos vehicles toward TRL 8 by 2029 — Exos is the flight-test integrator, not a propulsion provider.</w:t>
      </w:r>
    </w:p>
    <w:p w14:paraId="321D1C8A" w14:textId="77777777" w:rsidR="0033644C" w:rsidRPr="0033644C" w:rsidRDefault="0033644C" w:rsidP="0033644C">
      <w:pPr>
        <w:numPr>
          <w:ilvl w:val="0"/>
          <w:numId w:val="21"/>
        </w:numPr>
        <w:rPr>
          <w:b/>
          <w:bCs/>
        </w:rPr>
      </w:pPr>
      <w:r w:rsidRPr="0033644C">
        <w:rPr>
          <w:b/>
          <w:bCs/>
        </w:rPr>
        <w:t xml:space="preserve">Leverage Exos Suborbital Fleet: Use </w:t>
      </w:r>
      <w:proofErr w:type="spellStart"/>
      <w:r w:rsidRPr="0033644C">
        <w:rPr>
          <w:b/>
          <w:bCs/>
        </w:rPr>
        <w:t>Exos’s</w:t>
      </w:r>
      <w:proofErr w:type="spellEnd"/>
      <w:r w:rsidRPr="0033644C">
        <w:rPr>
          <w:b/>
          <w:bCs/>
        </w:rPr>
        <w:t xml:space="preserve"> reusable rockets to flight-test orbital-class propulsion modules, avionics, and recovery systems prior to barge or rideshare deployment.</w:t>
      </w:r>
    </w:p>
    <w:p w14:paraId="21DCAD9B" w14:textId="77777777" w:rsidR="0033644C" w:rsidRPr="0033644C" w:rsidRDefault="0033644C" w:rsidP="0033644C">
      <w:pPr>
        <w:numPr>
          <w:ilvl w:val="0"/>
          <w:numId w:val="21"/>
        </w:numPr>
        <w:rPr>
          <w:b/>
          <w:bCs/>
        </w:rPr>
      </w:pPr>
      <w:r w:rsidRPr="0033644C">
        <w:rPr>
          <w:b/>
          <w:bCs/>
        </w:rPr>
        <w:t>Complete the Scorpius Acquisition: bring Scorpius's Type-V composite cryogenic tank technology fully in-house and integrate it into Exos Integrated Pressurized Structures for 20–30% mass reduction and reusable OTV architectures.</w:t>
      </w:r>
    </w:p>
    <w:p w14:paraId="29FCD420" w14:textId="77777777" w:rsidR="0033644C" w:rsidRPr="0033644C" w:rsidRDefault="0033644C" w:rsidP="0033644C">
      <w:pPr>
        <w:numPr>
          <w:ilvl w:val="0"/>
          <w:numId w:val="21"/>
        </w:numPr>
        <w:rPr>
          <w:b/>
          <w:bCs/>
        </w:rPr>
      </w:pPr>
      <w:r w:rsidRPr="0033644C">
        <w:rPr>
          <w:b/>
          <w:bCs/>
        </w:rPr>
        <w:t xml:space="preserve">Utilize Texas-Based Infrastructure: Combine Midland, TX ground testing, Gulf of Mexico barge launches, and </w:t>
      </w:r>
      <w:proofErr w:type="spellStart"/>
      <w:r w:rsidRPr="0033644C">
        <w:rPr>
          <w:b/>
          <w:bCs/>
        </w:rPr>
        <w:t>Exos’s</w:t>
      </w:r>
      <w:proofErr w:type="spellEnd"/>
      <w:r w:rsidRPr="0033644C">
        <w:rPr>
          <w:b/>
          <w:bCs/>
        </w:rPr>
        <w:t xml:space="preserve"> existing suborbital flight capabilities for a comprehensive, iterative development loop.</w:t>
      </w:r>
    </w:p>
    <w:p w14:paraId="636287AB" w14:textId="77777777" w:rsidR="0033644C" w:rsidRPr="0033644C" w:rsidRDefault="0033644C" w:rsidP="0033644C">
      <w:pPr>
        <w:rPr>
          <w:b/>
          <w:bCs/>
        </w:rPr>
      </w:pPr>
      <w:r w:rsidRPr="0033644C">
        <w:rPr>
          <w:b/>
          <w:bCs/>
        </w:rPr>
        <w:lastRenderedPageBreak/>
        <w:pict w14:anchorId="38B1E77F">
          <v:rect id="_x0000_i1069" style="width:0;height:1.5pt" o:hralign="center" o:hrstd="t" o:hr="t" fillcolor="#a0a0a0" stroked="f"/>
        </w:pict>
      </w:r>
    </w:p>
    <w:p/>
    <w:p w14:paraId="55FBA63A" w14:textId="77777777" w:rsidR="0033644C" w:rsidRPr="0033644C" w:rsidRDefault="0033644C" w:rsidP="0033644C">
      <w:pPr>
        <w:rPr>
          <w:b/>
          <w:bCs/>
        </w:rPr>
      </w:pPr>
      <w:r w:rsidRPr="0033644C">
        <w:rPr>
          <w:b/>
          <w:bCs/>
        </w:rPr>
        <w:t>Phased Implementation Plan</w:t>
      </w:r>
    </w:p>
    <w:p>
      <w:r>
        <w:rPr>
          <w:b/>
        </w:rPr>
        <w:t>Funding close: Q4 2026 — enables Phase 1 start in January 2027.</w:t>
      </w:r>
    </w:p>
    <w:p w14:paraId="3224E99F" w14:textId="77777777" w:rsidR="0033644C" w:rsidRPr="0033644C" w:rsidRDefault="0033644C" w:rsidP="0033644C">
      <w:pPr>
        <w:rPr>
          <w:b/>
          <w:bCs/>
        </w:rPr>
      </w:pPr>
      <w:r w:rsidRPr="0033644C">
        <w:rPr>
          <w:b/>
          <w:bCs/>
        </w:rPr>
        <w:t>Phase 1 (Q1 2027 – Q2 2027): Licensing &amp; Early Integration</w:t>
      </w:r>
    </w:p>
    <w:p w14:paraId="4D23377A" w14:textId="77777777" w:rsidR="0033644C" w:rsidRPr="0033644C" w:rsidRDefault="0033644C" w:rsidP="0033644C">
      <w:pPr>
        <w:numPr>
          <w:ilvl w:val="0"/>
          <w:numId w:val="22"/>
        </w:numPr>
        <w:rPr>
          <w:b/>
          <w:bCs/>
        </w:rPr>
      </w:pPr>
      <w:r w:rsidRPr="0033644C">
        <w:rPr>
          <w:b/>
          <w:bCs/>
        </w:rPr>
        <w:t>Run the RDRE trade study and down-select — NASA MSFC license (TechPort ID: 116281) vs. GTL machined RDRE method (Exos does not own the GTL technology; both are candidate paths); adapt combustion and injector designs for Exos integration.</w:t>
      </w:r>
      <w:proofErr w:type="spellStart"/>
      <w:r w:rsidRPr="0033644C">
        <w:rPr>
          <w:b/>
          <w:bCs/>
        </w:rPr>
      </w:r>
      <w:proofErr w:type="spellEnd"/>
      <w:r w:rsidRPr="0033644C">
        <w:rPr>
          <w:b/>
          <w:bCs/>
        </w:rPr>
      </w:r>
    </w:p>
    <w:p w14:paraId="5B141E6F" w14:textId="77777777" w:rsidR="0033644C" w:rsidRPr="0033644C" w:rsidRDefault="0033644C" w:rsidP="0033644C">
      <w:pPr>
        <w:numPr>
          <w:ilvl w:val="0"/>
          <w:numId w:val="22"/>
        </w:numPr>
        <w:rPr>
          <w:b/>
          <w:bCs/>
        </w:rPr>
      </w:pPr>
      <w:r w:rsidRPr="0033644C">
        <w:rPr>
          <w:b/>
          <w:bCs/>
        </w:rPr>
        <w:t>Integrate RDRE with Scorpius Type-V pressurized tankage for the RDREW BLK3 test stage.</w:t>
      </w:r>
    </w:p>
    <w:p w14:paraId="2DE05D5F" w14:textId="77777777" w:rsidR="0033644C" w:rsidRPr="0033644C" w:rsidRDefault="0033644C" w:rsidP="0033644C">
      <w:pPr>
        <w:numPr>
          <w:ilvl w:val="0"/>
          <w:numId w:val="22"/>
        </w:numPr>
        <w:rPr>
          <w:b/>
          <w:bCs/>
        </w:rPr>
      </w:pPr>
      <w:r w:rsidRPr="0033644C">
        <w:rPr>
          <w:b/>
          <w:bCs/>
        </w:rPr>
        <w:t>Conduct early hot-fires and composite validation at Midland, TX facilities.</w:t>
      </w:r>
    </w:p>
    <w:p w14:paraId="136ABF36" w14:textId="77777777" w:rsidR="0033644C" w:rsidRPr="0033644C" w:rsidRDefault="0033644C" w:rsidP="0033644C">
      <w:pPr>
        <w:numPr>
          <w:ilvl w:val="0"/>
          <w:numId w:val="22"/>
        </w:numPr>
        <w:rPr>
          <w:b/>
          <w:bCs/>
        </w:rPr>
      </w:pPr>
      <w:r w:rsidRPr="0033644C">
        <w:rPr>
          <w:b/>
          <w:bCs/>
        </w:rPr>
        <w:t>Prepare Exos suborbital vehicle interfaces for in-flight RDRE component testing.</w:t>
      </w:r>
    </w:p>
    <w:p w14:paraId="013628DA" w14:textId="77777777" w:rsidR="0033644C" w:rsidRPr="0033644C" w:rsidRDefault="0033644C" w:rsidP="0033644C">
      <w:pPr>
        <w:numPr>
          <w:ilvl w:val="0"/>
          <w:numId w:val="22"/>
        </w:numPr>
        <w:rPr>
          <w:b/>
          <w:bCs/>
        </w:rPr>
      </w:pPr>
      <w:r w:rsidRPr="0033644C">
        <w:rPr>
          <w:b/>
          <w:bCs/>
          <w:i/>
          <w:iCs/>
        </w:rPr>
        <w:t>Milestones: License executed, PDR complete, first hot-fire by Q2 2027.</w:t>
      </w:r>
      <w:r w:rsidRPr="0033644C">
        <w:rPr>
          <w:b/>
          <w:bCs/>
        </w:rPr>
      </w:r>
      <w:proofErr w:type="gramStart"/>
      <w:r w:rsidRPr="0033644C">
        <w:rPr>
          <w:b/>
          <w:bCs/>
        </w:rPr>
      </w:r>
      <w:proofErr w:type="gramEnd"/>
      <w:r w:rsidRPr="0033644C">
        <w:rPr>
          <w:b/>
          <w:bCs/>
        </w:rPr>
      </w:r>
    </w:p>
    <w:p w14:paraId="15C9E972" w14:textId="77777777" w:rsidR="0033644C" w:rsidRPr="0033644C" w:rsidRDefault="0033644C" w:rsidP="0033644C">
      <w:pPr>
        <w:rPr>
          <w:b/>
          <w:bCs/>
        </w:rPr>
      </w:pPr>
      <w:r w:rsidRPr="0033644C">
        <w:rPr>
          <w:b/>
          <w:bCs/>
        </w:rPr>
        <w:t>Phase 2 (Q3 2027 – Q1 2028): Suborbital RDREW BLK3 Demonstrations</w:t>
      </w:r>
    </w:p>
    <w:p w14:paraId="7E0D815E" w14:textId="77777777" w:rsidR="0033644C" w:rsidRPr="0033644C" w:rsidRDefault="0033644C" w:rsidP="0033644C">
      <w:pPr>
        <w:numPr>
          <w:ilvl w:val="0"/>
          <w:numId w:val="23"/>
        </w:numPr>
        <w:rPr>
          <w:b/>
          <w:bCs/>
        </w:rPr>
      </w:pPr>
      <w:r w:rsidRPr="0033644C">
        <w:rPr>
          <w:b/>
          <w:bCs/>
        </w:rPr>
        <w:t>Conduct 5–7 suborbital flights from The Spaceport Company (TSC) Gulf barge to validate RDRE ignition, throttling, restart, and structural dynamics.</w:t>
      </w:r>
    </w:p>
    <w:p w14:paraId="6728FF60" w14:textId="77777777" w:rsidR="0033644C" w:rsidRPr="0033644C" w:rsidRDefault="0033644C" w:rsidP="0033644C">
      <w:pPr>
        <w:numPr>
          <w:ilvl w:val="0"/>
          <w:numId w:val="23"/>
        </w:numPr>
        <w:rPr>
          <w:b/>
          <w:bCs/>
        </w:rPr>
      </w:pPr>
      <w:r w:rsidRPr="0033644C">
        <w:rPr>
          <w:b/>
          <w:bCs/>
        </w:rPr>
        <w:t>Integrate RDRE propulsion modules and OTV avionics onto Exos suborbital rockets for partial-duration flight testing and recovery.</w:t>
      </w:r>
    </w:p>
    <w:p w14:paraId="2AD9F0A6" w14:textId="77777777" w:rsidR="0033644C" w:rsidRPr="0033644C" w:rsidRDefault="0033644C" w:rsidP="0033644C">
      <w:pPr>
        <w:numPr>
          <w:ilvl w:val="0"/>
          <w:numId w:val="23"/>
        </w:numPr>
        <w:rPr>
          <w:b/>
          <w:bCs/>
        </w:rPr>
      </w:pPr>
      <w:r w:rsidRPr="0033644C">
        <w:rPr>
          <w:b/>
          <w:bCs/>
        </w:rPr>
        <w:t>Perform ground-based pre/post-flight analysis in Midland for composite evaluation.</w:t>
      </w:r>
    </w:p>
    <w:p w14:paraId="05F1E3EE" w14:textId="77777777" w:rsidR="0033644C" w:rsidRPr="0033644C" w:rsidRDefault="0033644C" w:rsidP="0033644C">
      <w:pPr>
        <w:numPr>
          <w:ilvl w:val="0"/>
          <w:numId w:val="23"/>
        </w:numPr>
        <w:rPr>
          <w:b/>
          <w:bCs/>
        </w:rPr>
      </w:pPr>
      <w:r w:rsidRPr="0033644C">
        <w:rPr>
          <w:b/>
          <w:bCs/>
          <w:i/>
          <w:iCs/>
        </w:rPr>
        <w:t>Milestones:</w:t>
      </w:r>
      <w:r w:rsidRPr="0033644C">
        <w:rPr>
          <w:b/>
          <w:bCs/>
        </w:rPr>
        <w:t xml:space="preserve"> 500+ seconds cumulative in-flight RDRE operation; TRL 7 achieved by end of 2027.</w:t>
      </w:r>
    </w:p>
    <w:p w14:paraId="2BC1C9D9" w14:textId="77777777" w:rsidR="0033644C" w:rsidRPr="0033644C" w:rsidRDefault="0033644C" w:rsidP="0033644C">
      <w:pPr>
        <w:rPr>
          <w:b/>
          <w:bCs/>
        </w:rPr>
      </w:pPr>
      <w:r w:rsidRPr="0033644C">
        <w:rPr>
          <w:b/>
          <w:bCs/>
        </w:rPr>
        <w:t>Phase 3 (2028): BLK4 OTV Development and Rideshare Qualification (funded-future — proceeds only with program funding)</w:t>
      </w:r>
    </w:p>
    <w:p w14:paraId="44696000" w14:textId="77777777" w:rsidR="0033644C" w:rsidRPr="0033644C" w:rsidRDefault="0033644C" w:rsidP="0033644C">
      <w:pPr>
        <w:numPr>
          <w:ilvl w:val="0"/>
          <w:numId w:val="24"/>
        </w:numPr>
        <w:rPr>
          <w:b/>
          <w:bCs/>
        </w:rPr>
      </w:pPr>
      <w:r w:rsidRPr="0033644C">
        <w:rPr>
          <w:b/>
          <w:bCs/>
        </w:rPr>
        <w:t>Develop BLK4 test-only OTV (100–500 kg) using RDRE propulsion and Scorpius Type-V tanks integrated by Exos.</w:t>
      </w:r>
    </w:p>
    <w:p w14:paraId="1994B57F" w14:textId="77777777" w:rsidR="0033644C" w:rsidRPr="0033644C" w:rsidRDefault="0033644C" w:rsidP="0033644C">
      <w:pPr>
        <w:numPr>
          <w:ilvl w:val="0"/>
          <w:numId w:val="24"/>
        </w:numPr>
        <w:rPr>
          <w:b/>
          <w:bCs/>
        </w:rPr>
      </w:pPr>
      <w:r w:rsidRPr="0033644C">
        <w:rPr>
          <w:b/>
          <w:bCs/>
        </w:rPr>
        <w:t>Continue integration testing via Exos suborbital flights for propellant feed, guidance, and recovery systems prior to orbital rideshare readiness.</w:t>
      </w:r>
    </w:p>
    <w:p w14:paraId="79038646" w14:textId="77777777" w:rsidR="0033644C" w:rsidRPr="0033644C" w:rsidRDefault="0033644C" w:rsidP="0033644C">
      <w:pPr>
        <w:numPr>
          <w:ilvl w:val="0"/>
          <w:numId w:val="24"/>
        </w:numPr>
        <w:rPr>
          <w:b/>
          <w:bCs/>
        </w:rPr>
      </w:pPr>
      <w:r w:rsidRPr="0033644C">
        <w:rPr>
          <w:b/>
          <w:bCs/>
        </w:rPr>
        <w:lastRenderedPageBreak/>
        <w:t>Conduct extended-duration RDRE ground burns and vibration testing at Midland.</w:t>
      </w:r>
    </w:p>
    <w:p w14:paraId="17433407" w14:textId="77777777" w:rsidR="0033644C" w:rsidRPr="0033644C" w:rsidRDefault="0033644C" w:rsidP="0033644C">
      <w:pPr>
        <w:numPr>
          <w:ilvl w:val="0"/>
          <w:numId w:val="24"/>
        </w:numPr>
        <w:rPr>
          <w:b/>
          <w:bCs/>
        </w:rPr>
      </w:pPr>
      <w:r w:rsidRPr="0033644C">
        <w:rPr>
          <w:b/>
          <w:bCs/>
          <w:i/>
          <w:iCs/>
        </w:rPr>
        <w:t>Milestones:</w:t>
      </w:r>
      <w:r w:rsidRPr="0033644C">
        <w:rPr>
          <w:b/>
          <w:bCs/>
        </w:rPr>
        <w:t xml:space="preserve"> BLK4 CDR complete; first full-duration 5,800 </w:t>
      </w:r>
      <w:proofErr w:type="spellStart"/>
      <w:r w:rsidRPr="0033644C">
        <w:rPr>
          <w:b/>
          <w:bCs/>
        </w:rPr>
        <w:t>lbf</w:t>
      </w:r>
      <w:proofErr w:type="spellEnd"/>
      <w:r w:rsidRPr="0033644C">
        <w:rPr>
          <w:b/>
          <w:bCs/>
        </w:rPr>
        <w:t xml:space="preserve"> RDRE test by Q3 2028.</w:t>
      </w:r>
    </w:p>
    <w:p w14:paraId="082FA91E" w14:textId="77777777" w:rsidR="0033644C" w:rsidRPr="0033644C" w:rsidRDefault="0033644C" w:rsidP="0033644C">
      <w:pPr>
        <w:rPr>
          <w:b/>
          <w:bCs/>
        </w:rPr>
      </w:pPr>
      <w:r w:rsidRPr="0033644C">
        <w:rPr>
          <w:b/>
          <w:bCs/>
        </w:rPr>
        <w:t>Phase 4 (2028–2031): Orbital Demonstrations &amp; Market Transition (funded-future)</w:t>
      </w:r>
    </w:p>
    <w:p w14:paraId="27779CB2" w14:textId="77777777" w:rsidR="0033644C" w:rsidRPr="0033644C" w:rsidRDefault="0033644C" w:rsidP="0033644C">
      <w:pPr>
        <w:numPr>
          <w:ilvl w:val="0"/>
          <w:numId w:val="25"/>
        </w:numPr>
        <w:rPr>
          <w:b/>
          <w:bCs/>
        </w:rPr>
      </w:pPr>
      <w:r w:rsidRPr="0033644C">
        <w:rPr>
          <w:b/>
          <w:bCs/>
        </w:rPr>
        <w:t>Execute 3–5 rideshare launches (SpaceX, Rocket Lab, Firefly) to demonstrate RDRE-powered orbital maneuvers—orbit-raising, deorbit, and transfer simulations.</w:t>
      </w:r>
    </w:p>
    <w:p w14:paraId="32C3265E" w14:textId="77777777" w:rsidR="0033644C" w:rsidRPr="0033644C" w:rsidRDefault="0033644C" w:rsidP="0033644C">
      <w:pPr>
        <w:numPr>
          <w:ilvl w:val="0"/>
          <w:numId w:val="25"/>
        </w:numPr>
        <w:rPr>
          <w:b/>
          <w:bCs/>
        </w:rPr>
      </w:pPr>
      <w:r w:rsidRPr="0033644C">
        <w:rPr>
          <w:b/>
          <w:bCs/>
        </w:rPr>
        <w:t>Use Exos suborbital rockets between orbital missions for iterative design updates and subsystem validation.</w:t>
      </w:r>
    </w:p>
    <w:p w14:paraId="03A3A57D" w14:textId="77777777" w:rsidR="0033644C" w:rsidRPr="0033644C" w:rsidRDefault="0033644C" w:rsidP="0033644C">
      <w:pPr>
        <w:numPr>
          <w:ilvl w:val="0"/>
          <w:numId w:val="25"/>
        </w:numPr>
        <w:rPr>
          <w:b/>
          <w:bCs/>
        </w:rPr>
      </w:pPr>
      <w:r w:rsidRPr="0033644C">
        <w:rPr>
          <w:b/>
          <w:bCs/>
        </w:rPr>
        <w:t>Position test results to support commercial OTV services for NASA, DoD, and commercial clients.</w:t>
      </w:r>
    </w:p>
    <w:p w14:paraId="38106EDF" w14:textId="77777777" w:rsidR="0033644C" w:rsidRPr="0033644C" w:rsidRDefault="0033644C" w:rsidP="0033644C">
      <w:pPr>
        <w:numPr>
          <w:ilvl w:val="0"/>
          <w:numId w:val="25"/>
        </w:numPr>
        <w:rPr>
          <w:b/>
          <w:bCs/>
        </w:rPr>
      </w:pPr>
      <w:r w:rsidRPr="0033644C">
        <w:rPr>
          <w:b/>
          <w:bCs/>
          <w:i/>
          <w:iCs/>
        </w:rPr>
        <w:t>Milestones:</w:t>
      </w:r>
      <w:r w:rsidRPr="0033644C">
        <w:rPr>
          <w:b/>
          <w:bCs/>
        </w:rPr>
        <w:t xml:space="preserve"> First orbital test Q1 2029; first OTV service contracts by Q3 2029.</w:t>
      </w:r>
    </w:p>
    <w:p w14:paraId="697A3F45" w14:textId="77777777" w:rsidR="0033644C" w:rsidRPr="0033644C" w:rsidRDefault="0033644C" w:rsidP="0033644C">
      <w:pPr>
        <w:rPr>
          <w:b/>
          <w:bCs/>
        </w:rPr>
      </w:pPr>
      <w:r w:rsidRPr="0033644C">
        <w:rPr>
          <w:b/>
          <w:bCs/>
        </w:rPr>
        <w:pict w14:anchorId="1C0AC0EA">
          <v:rect id="_x0000_i1070" style="width:0;height:1.5pt" o:hralign="center" o:hrstd="t" o:hr="t" fillcolor="#a0a0a0" stroked="f"/>
        </w:pict>
      </w:r>
    </w:p>
    <w:p w14:paraId="11DA273D" w14:textId="77777777" w:rsidR="0033644C" w:rsidRPr="0033644C" w:rsidRDefault="0033644C" w:rsidP="0033644C">
      <w:pPr>
        <w:rPr>
          <w:b/>
          <w:bCs/>
        </w:rPr>
      </w:pPr>
      <w:r w:rsidRPr="0033644C">
        <w:rPr>
          <w:b/>
          <w:bCs/>
        </w:rPr>
        <w:t>Financial Overview</w:t>
      </w:r>
    </w:p>
    <w:p w14:paraId="79201B95" w14:textId="77777777" w:rsidR="0033644C" w:rsidRPr="0033644C" w:rsidRDefault="0033644C" w:rsidP="0033644C">
      <w:pPr>
        <w:rPr>
          <w:b/>
          <w:bCs/>
        </w:rPr>
      </w:pPr>
      <w:r w:rsidRPr="0033644C">
        <w:rPr>
          <w:b/>
          <w:bCs/>
        </w:rPr>
        <w:t>Total Estimated Investment: $65–110 M over 4 years</w:t>
      </w:r>
    </w:p>
    <w:p w14:paraId="5FCF2DD2" w14:textId="77777777" w:rsidR="0033644C" w:rsidRPr="0033644C" w:rsidRDefault="0033644C" w:rsidP="0033644C">
      <w:pPr>
        <w:numPr>
          <w:ilvl w:val="0"/>
          <w:numId w:val="26"/>
        </w:numPr>
        <w:rPr>
          <w:b/>
          <w:bCs/>
        </w:rPr>
      </w:pPr>
      <w:r w:rsidRPr="0033644C">
        <w:rPr>
          <w:b/>
          <w:bCs/>
        </w:rPr>
        <w:t>NASA RDRE licensing: $1–5 M</w:t>
      </w:r>
    </w:p>
    <w:p w14:paraId="2A1DB386" w14:textId="77777777" w:rsidR="0033644C" w:rsidRPr="0033644C" w:rsidRDefault="0033644C" w:rsidP="0033644C">
      <w:pPr>
        <w:numPr>
          <w:ilvl w:val="0"/>
          <w:numId w:val="26"/>
        </w:numPr>
        <w:rPr>
          <w:b/>
          <w:bCs/>
        </w:rPr>
      </w:pPr>
      <w:r w:rsidRPr="0033644C">
        <w:rPr>
          <w:b/>
          <w:bCs/>
        </w:rPr>
        <w:t>Gulf barge campaign: $5–10 M</w:t>
      </w:r>
    </w:p>
    <w:p w14:paraId="507CD42D" w14:textId="77777777" w:rsidR="0033644C" w:rsidRPr="0033644C" w:rsidRDefault="0033644C" w:rsidP="0033644C">
      <w:pPr>
        <w:numPr>
          <w:ilvl w:val="0"/>
          <w:numId w:val="26"/>
        </w:numPr>
        <w:rPr>
          <w:b/>
          <w:bCs/>
        </w:rPr>
      </w:pPr>
      <w:r w:rsidRPr="0033644C">
        <w:rPr>
          <w:b/>
          <w:bCs/>
        </w:rPr>
        <w:t>Rideshare missions: $15–25 M (3–5 deployments)</w:t>
      </w:r>
    </w:p>
    <w:p w14:paraId="5FE49A89" w14:textId="77777777" w:rsidR="0033644C" w:rsidRPr="0033644C" w:rsidRDefault="0033644C" w:rsidP="0033644C">
      <w:pPr>
        <w:numPr>
          <w:ilvl w:val="0"/>
          <w:numId w:val="26"/>
        </w:numPr>
        <w:rPr>
          <w:b/>
          <w:bCs/>
        </w:rPr>
      </w:pPr>
      <w:r w:rsidRPr="0033644C">
        <w:rPr>
          <w:b/>
          <w:bCs/>
        </w:rPr>
        <w:t>Ground and suborbital testing (Midland + Exos ops): $10–15 M</w:t>
      </w:r>
    </w:p>
    <w:p w14:paraId="600971F4" w14:textId="77777777" w:rsidR="0033644C" w:rsidRPr="0033644C" w:rsidRDefault="0033644C" w:rsidP="0033644C">
      <w:pPr>
        <w:numPr>
          <w:ilvl w:val="0"/>
          <w:numId w:val="26"/>
        </w:numPr>
        <w:rPr>
          <w:b/>
          <w:bCs/>
        </w:rPr>
      </w:pPr>
      <w:r w:rsidRPr="0033644C">
        <w:rPr>
          <w:b/>
          <w:bCs/>
        </w:rPr>
        <w:t>Potential offsets via NASA/DoD programs (SBIR, CLPS, Tipping Point)</w:t>
      </w:r>
    </w:p>
    <w:p w14:paraId="600971F4" w14:textId="77777777" w:rsidR="0033644C" w:rsidRPr="0033644C" w:rsidRDefault="0033644C" w:rsidP="0033644C">
      <w:pPr>
        <w:numPr>
          <w:ilvl w:val="0"/>
          <w:numId w:val="26"/>
        </w:numPr>
        <w:rPr>
          <w:b/>
          <w:bCs/>
        </w:rPr>
      </w:pPr>
      <w:r w:rsidRPr="0033644C">
        <w:rPr>
          <w:b/>
          <w:bCs/>
        </w:rPr>
        <w:t>Series A — use of funds: a $10 million Series A to (a) complete the acquisition of Scorpius Space Launch Company (Exos owns 18% today) and bring its composite cryogenic tank technology fully in-house; (b) finish and fly BLK3; (c) advance next-generation propulsion through a structured trade study. BLK4 is not funded by this raise; it remains a future, gated orbital path.</w:t>
      </w:r>
    </w:p>
    <w:p w14:paraId="600971F4" w14:textId="77777777" w:rsidR="0033644C" w:rsidRPr="0033644C" w:rsidRDefault="0033644C" w:rsidP="0033644C">
      <w:pPr>
        <w:numPr>
          <w:ilvl w:val="0"/>
          <w:numId w:val="26"/>
        </w:numPr>
        <w:rPr>
          <w:b/>
          <w:bCs/>
        </w:rPr>
      </w:pPr>
      <w:r w:rsidRPr="0033644C">
        <w:rPr>
          <w:b/>
          <w:bCs/>
        </w:rPr>
        <w:t>Company projections: per the Figures of Record and the model of record (v12, consolidated with Scorpius post-acquisition) — Y5 revenue ~$121.6M (conservative Cash Flow case). Management-prepared projections; not audited.</w:t>
      </w:r>
    </w:p>
    <w:p>
      <w:r>
        <w:rPr>
          <w:b/>
        </w:rPr>
        <w:t>Current Financial Position — FY2025 Actuals (per filed IRS Form 1120):</w:t>
      </w:r>
    </w:p>
    <w:p>
      <w:r>
        <w:t>Revenue $1.49M; EBITDA ~$296K (~20% margin) — first profitable year (pre-tax income $189K).</w:t>
      </w:r>
    </w:p>
    <w:p>
      <w:r>
        <w:t>Total assets $16.1M; ~$6.2M net operating loss carryforward (tax shield on future income).</w:t>
      </w:r>
    </w:p>
    <w:p/>
    <w:p w14:paraId="656584F7" w14:textId="77777777" w:rsidR="0033644C" w:rsidRPr="0033644C" w:rsidRDefault="0033644C" w:rsidP="0033644C">
      <w:pPr>
        <w:rPr>
          <w:b/>
          <w:bCs/>
        </w:rPr>
      </w:pPr>
      <w:r w:rsidRPr="0033644C">
        <w:rPr>
          <w:b/>
          <w:bCs/>
        </w:rPr>
        <w:t>Target Metrics:</w:t>
      </w:r>
    </w:p>
    <w:p w14:paraId="02AAE415" w14:textId="77777777" w:rsidR="0033644C" w:rsidRPr="0033644C" w:rsidRDefault="0033644C" w:rsidP="0033644C">
      <w:pPr>
        <w:numPr>
          <w:ilvl w:val="0"/>
          <w:numId w:val="27"/>
        </w:numPr>
        <w:rPr>
          <w:b/>
          <w:bCs/>
        </w:rPr>
      </w:pPr>
      <w:r w:rsidRPr="0033644C">
        <w:rPr>
          <w:b/>
          <w:bCs/>
        </w:rPr>
        <w:t>90% RDRE efficiency demonstrated</w:t>
      </w:r>
    </w:p>
    <w:p w14:paraId="70FC9FC4" w14:textId="77777777" w:rsidR="0033644C" w:rsidRPr="0033644C" w:rsidRDefault="0033644C" w:rsidP="0033644C">
      <w:pPr>
        <w:numPr>
          <w:ilvl w:val="0"/>
          <w:numId w:val="27"/>
        </w:numPr>
        <w:rPr>
          <w:b/>
          <w:bCs/>
        </w:rPr>
      </w:pPr>
      <w:r w:rsidRPr="0033644C">
        <w:rPr>
          <w:b/>
          <w:bCs/>
        </w:rPr>
        <w:t>80% hardware recovery rate</w:t>
      </w:r>
    </w:p>
    <w:p w14:paraId="268A0D81" w14:textId="77777777" w:rsidR="0033644C" w:rsidRPr="0033644C" w:rsidRDefault="0033644C" w:rsidP="0033644C">
      <w:pPr>
        <w:numPr>
          <w:ilvl w:val="0"/>
          <w:numId w:val="27"/>
        </w:numPr>
        <w:rPr>
          <w:b/>
          <w:bCs/>
        </w:rPr>
      </w:pPr>
      <w:r w:rsidRPr="0033644C">
        <w:rPr>
          <w:b/>
          <w:bCs/>
        </w:rPr>
        <w:lastRenderedPageBreak/>
        <w:t>&lt;150 kg pressurized structure dry mass</w:t>
      </w:r>
    </w:p>
    <w:p w14:paraId="1934DC9E" w14:textId="77777777" w:rsidR="0033644C" w:rsidRPr="0033644C" w:rsidRDefault="0033644C" w:rsidP="0033644C">
      <w:pPr>
        <w:numPr>
          <w:ilvl w:val="0"/>
          <w:numId w:val="27"/>
        </w:numPr>
        <w:rPr>
          <w:b/>
          <w:bCs/>
        </w:rPr>
      </w:pPr>
      <w:r w:rsidRPr="0033644C">
        <w:rPr>
          <w:b/>
          <w:bCs/>
        </w:rPr>
        <w:t>3+ successful rideshare tests by 2029</w:t>
      </w:r>
    </w:p>
    <w:p w14:paraId="1C004935" w14:textId="77777777" w:rsidR="0033644C" w:rsidRPr="0033644C" w:rsidRDefault="0033644C" w:rsidP="0033644C">
      <w:pPr>
        <w:numPr>
          <w:ilvl w:val="0"/>
          <w:numId w:val="27"/>
        </w:numPr>
        <w:rPr>
          <w:b/>
          <w:bCs/>
        </w:rPr>
      </w:pPr>
      <w:r w:rsidRPr="0033644C">
        <w:rPr>
          <w:b/>
          <w:bCs/>
        </w:rPr>
        <w:t>Commercial OTV-ready platform by 2031</w:t>
      </w:r>
    </w:p>
    <w:p w14:paraId="52052562" w14:textId="77777777" w:rsidR="0033644C" w:rsidRPr="0033644C" w:rsidRDefault="0033644C" w:rsidP="0033644C">
      <w:pPr>
        <w:rPr>
          <w:b/>
          <w:bCs/>
        </w:rPr>
      </w:pPr>
      <w:r w:rsidRPr="0033644C">
        <w:rPr>
          <w:b/>
          <w:bCs/>
        </w:rPr>
        <w:pict w14:anchorId="63979950">
          <v:rect id="_x0000_i1071" style="width:0;height:1.5pt" o:hralign="center" o:hrstd="t" o:hr="t" fillcolor="#a0a0a0" stroked="f"/>
        </w:pict>
      </w:r>
    </w:p>
    <w:p w14:paraId="2A78041C" w14:textId="77777777" w:rsidR="0033644C" w:rsidRPr="0033644C" w:rsidRDefault="0033644C" w:rsidP="0033644C">
      <w:pPr>
        <w:rPr>
          <w:b/>
          <w:bCs/>
        </w:rPr>
      </w:pPr>
      <w:r w:rsidRPr="0033644C">
        <w:rPr>
          <w:b/>
          <w:bCs/>
        </w:rPr>
        <w:t>Testing and Trade Study Summary</w:t>
      </w:r>
    </w:p>
    <w:p w14:paraId="5942620A" w14:textId="77777777" w:rsidR="0033644C" w:rsidRPr="0033644C" w:rsidRDefault="0033644C" w:rsidP="0033644C">
      <w:pPr>
        <w:rPr>
          <w:b/>
          <w:bCs/>
        </w:rPr>
      </w:pPr>
      <w:r w:rsidRPr="0033644C">
        <w:rPr>
          <w:b/>
          <w:bCs/>
        </w:rPr>
        <w:t xml:space="preserve">A comparative analysis of TSC Gulf barge operations and Midland, TX test facilities </w:t>
      </w:r>
      <w:proofErr w:type="gramStart"/>
      <w:r w:rsidRPr="0033644C">
        <w:rPr>
          <w:b/>
          <w:bCs/>
        </w:rPr>
        <w:t>confirms</w:t>
      </w:r>
      <w:proofErr w:type="gramEnd"/>
      <w:r w:rsidRPr="0033644C">
        <w:rPr>
          <w:b/>
          <w:bCs/>
        </w:rPr>
        <w:t xml:space="preserve"> a hybrid strategy:</w:t>
      </w:r>
    </w:p>
    <w:p w14:paraId="62B7F87E" w14:textId="77777777" w:rsidR="0033644C" w:rsidRPr="0033644C" w:rsidRDefault="0033644C" w:rsidP="0033644C">
      <w:pPr>
        <w:numPr>
          <w:ilvl w:val="0"/>
          <w:numId w:val="28"/>
        </w:numPr>
        <w:rPr>
          <w:b/>
          <w:bCs/>
        </w:rPr>
      </w:pPr>
      <w:r w:rsidRPr="0033644C">
        <w:rPr>
          <w:b/>
          <w:bCs/>
        </w:rPr>
        <w:t>Barge: Optimal for flight safety, recovery operations, and FAA-approved offshore campaigns.</w:t>
      </w:r>
    </w:p>
    <w:p w14:paraId="46C4D1F7" w14:textId="77777777" w:rsidR="0033644C" w:rsidRPr="0033644C" w:rsidRDefault="0033644C" w:rsidP="0033644C">
      <w:pPr>
        <w:numPr>
          <w:ilvl w:val="0"/>
          <w:numId w:val="28"/>
        </w:numPr>
        <w:rPr>
          <w:b/>
          <w:bCs/>
        </w:rPr>
      </w:pPr>
      <w:r w:rsidRPr="0033644C">
        <w:rPr>
          <w:b/>
          <w:bCs/>
        </w:rPr>
        <w:t>Midland: Best for ground integration, engine qualification, and suborbital-to-orbital test transitions.</w:t>
      </w:r>
    </w:p>
    <w:p w14:paraId="07B7C28E" w14:textId="77777777" w:rsidR="0033644C" w:rsidRPr="0033644C" w:rsidRDefault="0033644C" w:rsidP="0033644C">
      <w:pPr>
        <w:numPr>
          <w:ilvl w:val="0"/>
          <w:numId w:val="28"/>
        </w:numPr>
        <w:rPr>
          <w:b/>
          <w:bCs/>
        </w:rPr>
      </w:pPr>
      <w:r w:rsidRPr="0033644C">
        <w:rPr>
          <w:b/>
          <w:bCs/>
        </w:rPr>
        <w:t>Exos Suborbital Fleet: Critical bridge for real-flight testing of RDRE components and orbital vehicle systems prior to full orbital deployments.</w:t>
      </w:r>
      <w:r w:rsidRPr="0033644C">
        <w:rPr>
          <w:b/>
          <w:bCs/>
        </w:rPr>
        <w:br/>
        <w:t>→ Recommendation: Midland for ground and subsystem integration; Exos suborbital flights for validation; TSC barge for full-system dynamic testing.</w:t>
      </w:r>
    </w:p>
    <w:p w14:paraId="2FAF828D" w14:textId="77777777" w:rsidR="0033644C" w:rsidRPr="0033644C" w:rsidRDefault="0033644C" w:rsidP="0033644C">
      <w:pPr>
        <w:rPr>
          <w:b/>
          <w:bCs/>
        </w:rPr>
      </w:pPr>
      <w:r w:rsidRPr="0033644C">
        <w:rPr>
          <w:b/>
          <w:bCs/>
        </w:rPr>
        <w:pict w14:anchorId="49E176C4">
          <v:rect id="_x0000_i1072" style="width:0;height:1.5pt" o:hralign="center" o:hrstd="t" o:hr="t" fillcolor="#a0a0a0" stroked="f"/>
        </w:pict>
      </w:r>
    </w:p>
    <w:p w14:paraId="7B302134" w14:textId="77777777" w:rsidR="0033644C" w:rsidRPr="0033644C" w:rsidRDefault="0033644C" w:rsidP="0033644C">
      <w:pPr>
        <w:rPr>
          <w:b/>
          <w:bCs/>
        </w:rPr>
      </w:pPr>
      <w:r w:rsidRPr="0033644C">
        <w:rPr>
          <w:b/>
          <w:bCs/>
        </w:rPr>
        <w:t>Strategic Advantages</w:t>
      </w:r>
    </w:p>
    <w:p w14:paraId="0076BAC3" w14:textId="77777777" w:rsidR="0033644C" w:rsidRPr="0033644C" w:rsidRDefault="0033644C" w:rsidP="0033644C">
      <w:pPr>
        <w:numPr>
          <w:ilvl w:val="0"/>
          <w:numId w:val="29"/>
        </w:numPr>
        <w:rPr>
          <w:b/>
          <w:bCs/>
        </w:rPr>
      </w:pPr>
      <w:r w:rsidRPr="0033644C">
        <w:rPr>
          <w:b/>
          <w:bCs/>
        </w:rPr>
        <w:t>Integrated Flight Test Path: Ground → Suborbital → Barge → Rideshare, minimizing risk and cost per iteration.</w:t>
      </w:r>
    </w:p>
    <w:p w14:paraId="65E7697C" w14:textId="77777777" w:rsidR="0033644C" w:rsidRPr="0033644C" w:rsidRDefault="0033644C" w:rsidP="0033644C">
      <w:pPr>
        <w:numPr>
          <w:ilvl w:val="0"/>
          <w:numId w:val="29"/>
        </w:numPr>
        <w:rPr>
          <w:b/>
          <w:bCs/>
        </w:rPr>
      </w:pPr>
      <w:r w:rsidRPr="0033644C">
        <w:rPr>
          <w:b/>
          <w:bCs/>
        </w:rPr>
        <w:t>RDRE Advantage: methane/oxygen detonation engine (&gt;350 s Isp potential) via the down-selected path — NASA MSFC license or GTL machined method.</w:t>
      </w:r>
    </w:p>
    <w:p w14:paraId="79C69F0C" w14:textId="77777777" w:rsidR="0033644C" w:rsidRPr="0033644C" w:rsidRDefault="0033644C" w:rsidP="0033644C">
      <w:pPr>
        <w:numPr>
          <w:ilvl w:val="0"/>
          <w:numId w:val="29"/>
        </w:numPr>
        <w:rPr>
          <w:b/>
          <w:bCs/>
        </w:rPr>
      </w:pPr>
      <w:r w:rsidRPr="0033644C">
        <w:rPr>
          <w:b/>
          <w:bCs/>
        </w:rPr>
        <w:t>Reusable Infrastructure: Exos suborbital platforms enable rapid reuse and real-world data collection.</w:t>
      </w:r>
    </w:p>
    <w:p w14:paraId="53D09555" w14:textId="77777777" w:rsidR="0033644C" w:rsidRPr="0033644C" w:rsidRDefault="0033644C" w:rsidP="0033644C">
      <w:pPr>
        <w:numPr>
          <w:ilvl w:val="0"/>
          <w:numId w:val="29"/>
        </w:numPr>
        <w:rPr>
          <w:b/>
          <w:bCs/>
        </w:rPr>
      </w:pPr>
      <w:r w:rsidRPr="0033644C">
        <w:rPr>
          <w:b/>
          <w:bCs/>
        </w:rPr>
        <w:t>Cost Efficiency: Rideshare strategy reduces orbital access costs by &gt;60% versus dedicated launch.</w:t>
      </w:r>
    </w:p>
    <w:p w14:paraId="03FDAF08" w14:textId="77777777" w:rsidR="0033644C" w:rsidRPr="0033644C" w:rsidRDefault="0033644C" w:rsidP="0033644C">
      <w:pPr>
        <w:numPr>
          <w:ilvl w:val="0"/>
          <w:numId w:val="29"/>
        </w:numPr>
        <w:rPr>
          <w:b/>
          <w:bCs/>
        </w:rPr>
      </w:pPr>
      <w:r w:rsidRPr="0033644C">
        <w:rPr>
          <w:b/>
          <w:bCs/>
        </w:rPr>
        <w:lastRenderedPageBreak/>
        <w:t>Texas Ecosystem Synergy: Co-located testing, composites manufacturing, and workforce availability.</w:t>
      </w:r>
    </w:p>
    <w:p w14:paraId="36306E85" w14:textId="77777777" w:rsidR="0033644C" w:rsidRPr="0033644C" w:rsidRDefault="0033644C" w:rsidP="0033644C">
      <w:pPr>
        <w:rPr>
          <w:b/>
          <w:bCs/>
        </w:rPr>
      </w:pPr>
      <w:r w:rsidRPr="0033644C">
        <w:rPr>
          <w:b/>
          <w:bCs/>
        </w:rPr>
        <w:pict w14:anchorId="69961BD6">
          <v:rect id="_x0000_i1073" style="width:0;height:1.5pt" o:hralign="center" o:hrstd="t" o:hr="t" fillcolor="#a0a0a0" stroked="f"/>
        </w:pict>
      </w:r>
    </w:p>
    <w:p w14:paraId="7B0CA906" w14:textId="77777777" w:rsidR="0033644C" w:rsidRPr="0033644C" w:rsidRDefault="0033644C" w:rsidP="0033644C">
      <w:pPr>
        <w:rPr>
          <w:b/>
          <w:bCs/>
        </w:rPr>
      </w:pPr>
      <w:r w:rsidRPr="0033644C">
        <w:rPr>
          <w:b/>
          <w:bCs/>
        </w:rPr>
        <w:t>Next Actions (Q4 2026)</w:t>
      </w:r>
    </w:p>
    <w:p w14:paraId="2FBD3AAD" w14:textId="77777777" w:rsidR="0033644C" w:rsidRPr="0033644C" w:rsidRDefault="0033644C" w:rsidP="0033644C">
      <w:pPr>
        <w:numPr>
          <w:ilvl w:val="0"/>
          <w:numId w:val="30"/>
        </w:numPr>
        <w:rPr>
          <w:b/>
          <w:bCs/>
        </w:rPr>
      </w:pPr>
      <w:r w:rsidRPr="0033644C">
        <w:rPr>
          <w:b/>
          <w:bCs/>
        </w:rPr>
        <w:t>Complete the acquisition of Scorpius Space Launch Company; run the next-generation propulsion trade study and down-select (NASA MSFC license vs. GTL machined method).</w:t>
      </w:r>
    </w:p>
    <w:p w14:paraId="0980BD1E" w14:textId="77777777" w:rsidR="0033644C" w:rsidRPr="0033644C" w:rsidRDefault="0033644C" w:rsidP="0033644C">
      <w:pPr>
        <w:numPr>
          <w:ilvl w:val="0"/>
          <w:numId w:val="30"/>
        </w:numPr>
        <w:rPr>
          <w:b/>
          <w:bCs/>
        </w:rPr>
      </w:pPr>
      <w:r w:rsidRPr="0033644C">
        <w:rPr>
          <w:b/>
          <w:bCs/>
        </w:rPr>
        <w:t>Modify Exos suborbital vehicles for integrated RDRE subsystem testing.</w:t>
      </w:r>
    </w:p>
    <w:p w14:paraId="2AE3D934" w14:textId="77777777" w:rsidR="0033644C" w:rsidRPr="0033644C" w:rsidRDefault="0033644C" w:rsidP="0033644C">
      <w:pPr>
        <w:numPr>
          <w:ilvl w:val="0"/>
          <w:numId w:val="30"/>
        </w:numPr>
        <w:rPr>
          <w:b/>
          <w:bCs/>
        </w:rPr>
      </w:pPr>
      <w:r w:rsidRPr="0033644C">
        <w:rPr>
          <w:b/>
          <w:bCs/>
        </w:rPr>
        <w:t>Secure TSC barge access and rideshare LOIs (SpaceX, Rocket Lab, Firefly).</w:t>
      </w:r>
    </w:p>
    <w:p w14:paraId="0210674D" w14:textId="77777777" w:rsidR="0033644C" w:rsidRPr="0033644C" w:rsidRDefault="0033644C" w:rsidP="0033644C">
      <w:pPr>
        <w:numPr>
          <w:ilvl w:val="0"/>
          <w:numId w:val="30"/>
        </w:numPr>
        <w:rPr>
          <w:b/>
          <w:bCs/>
        </w:rPr>
      </w:pPr>
      <w:r w:rsidRPr="0033644C">
        <w:rPr>
          <w:b/>
          <w:bCs/>
        </w:rPr>
        <w:t>Begin composite structure and avionics PDR integration at Midland.</w:t>
      </w:r>
    </w:p>
    <w:p w14:paraId="18D85CBC" w14:textId="77777777" w:rsidR="006E0DEB" w:rsidRPr="0033644C" w:rsidRDefault="006E0DEB" w:rsidP="0033644C"/>
    <w:sectPr w:rsidR="006E0DEB" w:rsidRPr="0033644C" w:rsidSect="004073BA">
      <w:headerReference w:type="default" r:id="rId8"/>
      <w:footerReference w:type="default" r:id="rId9"/>
      <w:pgSz w:w="12240" w:h="15840"/>
      <w:pgMar w:top="1584" w:right="1440" w:bottom="151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6729E" w14:textId="77777777" w:rsidR="00531D80" w:rsidRDefault="00531D80" w:rsidP="00531D80">
      <w:pPr>
        <w:spacing w:after="0" w:line="240" w:lineRule="auto"/>
      </w:pPr>
      <w:r>
        <w:separator/>
      </w:r>
    </w:p>
  </w:endnote>
  <w:endnote w:type="continuationSeparator" w:id="0">
    <w:p w14:paraId="079DC98E" w14:textId="77777777" w:rsidR="00531D80" w:rsidRDefault="00531D80" w:rsidP="00531D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C7E1" w14:textId="041F3336" w:rsidR="00153AFE" w:rsidRDefault="00153AFE" w:rsidP="00153AFE">
    <w:pPr>
      <w:pStyle w:val="Footer"/>
    </w:pPr>
  </w:p>
  <w:p w14:paraId="7E53FDB1" w14:textId="05BAE708" w:rsidR="00153AFE" w:rsidRPr="00AD1D32" w:rsidRDefault="00153AFE" w:rsidP="00153AFE">
    <w:pPr>
      <w:pStyle w:val="Footer"/>
    </w:pPr>
  </w:p>
  <w:p w14:paraId="5BED68FB" w14:textId="3BFC5E88" w:rsidR="00153AFE" w:rsidRDefault="005205E5" w:rsidP="005205E5">
    <w:pPr>
      <w:pStyle w:val="Footer"/>
      <w:jc w:val="center"/>
    </w:pPr>
    <w:r>
      <w:rPr>
        <w:noProof/>
      </w:rPr>
      <w:drawing>
        <wp:anchor distT="0" distB="0" distL="114300" distR="114300" simplePos="0" relativeHeight="251660288" behindDoc="1" locked="0" layoutInCell="1" allowOverlap="1" wp14:anchorId="77387259" wp14:editId="5BC35EEC">
          <wp:simplePos x="0" y="0"/>
          <wp:positionH relativeFrom="page">
            <wp:align>right</wp:align>
          </wp:positionH>
          <wp:positionV relativeFrom="paragraph">
            <wp:posOffset>63690</wp:posOffset>
          </wp:positionV>
          <wp:extent cx="3425190" cy="561150"/>
          <wp:effectExtent l="0" t="0" r="0" b="0"/>
          <wp:wrapNone/>
          <wp:docPr id="1274565867" name="Picture 1274565867" descr="exos-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osletterhead_footer.png"/>
                  <pic:cNvPicPr/>
                </pic:nvPicPr>
                <pic:blipFill>
                  <a:blip r:embed="rId1">
                    <a:extLst>
                      <a:ext uri="{28A0092B-C50C-407E-A947-70E740481C1C}">
                        <a14:useLocalDpi xmlns:a14="http://schemas.microsoft.com/office/drawing/2010/main" val="0"/>
                      </a:ext>
                    </a:extLst>
                  </a:blip>
                  <a:stretch>
                    <a:fillRect/>
                  </a:stretch>
                </pic:blipFill>
                <pic:spPr>
                  <a:xfrm>
                    <a:off x="0" y="0"/>
                    <a:ext cx="3425190" cy="56115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1D969" w14:textId="77777777" w:rsidR="00531D80" w:rsidRDefault="00531D80" w:rsidP="00531D80">
      <w:pPr>
        <w:spacing w:after="0" w:line="240" w:lineRule="auto"/>
      </w:pPr>
      <w:r>
        <w:separator/>
      </w:r>
    </w:p>
  </w:footnote>
  <w:footnote w:type="continuationSeparator" w:id="0">
    <w:p w14:paraId="7600843C" w14:textId="77777777" w:rsidR="00531D80" w:rsidRDefault="00531D80" w:rsidP="00531D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0C9F5" w14:textId="096499BE" w:rsidR="00147251" w:rsidRPr="000E6BAA" w:rsidRDefault="00147251" w:rsidP="00147251">
    <w:pPr>
      <w:pStyle w:val="Header"/>
      <w:tabs>
        <w:tab w:val="left" w:pos="2874"/>
        <w:tab w:val="right" w:pos="4680"/>
        <w:tab w:val="right" w:pos="10224"/>
      </w:tabs>
      <w:rPr>
        <w:rFonts w:ascii="Tahoma" w:hAnsi="Tahoma" w:cs="Tahoma"/>
        <w:color w:val="808080" w:themeColor="background1" w:themeShade="80"/>
      </w:rPr>
    </w:pPr>
    <w:r w:rsidRPr="000E6BAA">
      <w:rPr>
        <w:rFonts w:ascii="Tahoma" w:hAnsi="Tahoma" w:cs="Tahoma"/>
        <w:noProof/>
        <w:color w:val="808080" w:themeColor="background1" w:themeShade="80"/>
      </w:rPr>
      <w:drawing>
        <wp:anchor distT="0" distB="0" distL="114300" distR="114300" simplePos="0" relativeHeight="251658240" behindDoc="1" locked="0" layoutInCell="1" allowOverlap="1" wp14:anchorId="24C38B4E" wp14:editId="74402038">
          <wp:simplePos x="0" y="0"/>
          <wp:positionH relativeFrom="column">
            <wp:posOffset>-902970</wp:posOffset>
          </wp:positionH>
          <wp:positionV relativeFrom="paragraph">
            <wp:posOffset>-468629</wp:posOffset>
          </wp:positionV>
          <wp:extent cx="2880360" cy="594844"/>
          <wp:effectExtent l="0" t="0" r="0" b="0"/>
          <wp:wrapNone/>
          <wp:docPr id="624236723" name="Picture 624236723" descr="exos-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osletterhead_header.png"/>
                  <pic:cNvPicPr/>
                </pic:nvPicPr>
                <pic:blipFill>
                  <a:blip r:embed="rId1">
                    <a:extLst>
                      <a:ext uri="{28A0092B-C50C-407E-A947-70E740481C1C}">
                        <a14:useLocalDpi xmlns:a14="http://schemas.microsoft.com/office/drawing/2010/main" val="0"/>
                      </a:ext>
                    </a:extLst>
                  </a:blip>
                  <a:stretch>
                    <a:fillRect/>
                  </a:stretch>
                </pic:blipFill>
                <pic:spPr>
                  <a:xfrm>
                    <a:off x="0" y="0"/>
                    <a:ext cx="2896129" cy="598101"/>
                  </a:xfrm>
                  <a:prstGeom prst="rect">
                    <a:avLst/>
                  </a:prstGeom>
                </pic:spPr>
              </pic:pic>
            </a:graphicData>
          </a:graphic>
          <wp14:sizeRelH relativeFrom="page">
            <wp14:pctWidth>0</wp14:pctWidth>
          </wp14:sizeRelH>
          <wp14:sizeRelV relativeFrom="page">
            <wp14:pctHeight>0</wp14:pctHeight>
          </wp14:sizeRelV>
        </wp:anchor>
      </w:drawing>
    </w:r>
    <w:r w:rsidR="000E645B">
      <w:rPr>
        <w:rFonts w:ascii="Tahoma" w:hAnsi="Tahoma" w:cs="Tahoma"/>
        <w:color w:val="808080" w:themeColor="background1" w:themeShade="80"/>
      </w:rPr>
      <w:tab/>
    </w:r>
    <w:r w:rsidR="000E645B">
      <w:rPr>
        <w:rFonts w:ascii="Tahoma" w:hAnsi="Tahoma" w:cs="Tahoma"/>
        <w:color w:val="808080" w:themeColor="background1" w:themeShade="80"/>
      </w:rPr>
      <w:tab/>
    </w:r>
    <w:r w:rsidR="000E645B">
      <w:rPr>
        <w:rFonts w:ascii="Tahoma" w:hAnsi="Tahoma" w:cs="Tahoma"/>
        <w:color w:val="808080" w:themeColor="background1" w:themeShade="80"/>
      </w:rPr>
      <w:tab/>
    </w:r>
  </w:p>
  <w:p w14:paraId="77BB0A6B" w14:textId="1AFFC7D2" w:rsidR="000E6BAA" w:rsidRPr="000E6BAA" w:rsidRDefault="000E6BAA" w:rsidP="00BD08F1">
    <w:pPr>
      <w:pStyle w:val="Header"/>
      <w:jc w:val="center"/>
      <w:rPr>
        <w:rFonts w:ascii="Tahoma" w:hAnsi="Tahoma" w:cs="Tahoma"/>
        <w:color w:val="808080" w:themeColor="background1"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962F4"/>
    <w:multiLevelType w:val="multilevel"/>
    <w:tmpl w:val="F5B26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317F2"/>
    <w:multiLevelType w:val="multilevel"/>
    <w:tmpl w:val="AECC4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D17D8"/>
    <w:multiLevelType w:val="multilevel"/>
    <w:tmpl w:val="E148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363CC"/>
    <w:multiLevelType w:val="multilevel"/>
    <w:tmpl w:val="9A2AC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F2C7A"/>
    <w:multiLevelType w:val="multilevel"/>
    <w:tmpl w:val="EFDA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91804"/>
    <w:multiLevelType w:val="multilevel"/>
    <w:tmpl w:val="23C0C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D0EB7"/>
    <w:multiLevelType w:val="multilevel"/>
    <w:tmpl w:val="7F380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E4A62"/>
    <w:multiLevelType w:val="multilevel"/>
    <w:tmpl w:val="C51C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43BF4"/>
    <w:multiLevelType w:val="multilevel"/>
    <w:tmpl w:val="732CE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8746F3"/>
    <w:multiLevelType w:val="multilevel"/>
    <w:tmpl w:val="59BE4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72977"/>
    <w:multiLevelType w:val="multilevel"/>
    <w:tmpl w:val="E102B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357BE3"/>
    <w:multiLevelType w:val="multilevel"/>
    <w:tmpl w:val="1D7E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525605"/>
    <w:multiLevelType w:val="multilevel"/>
    <w:tmpl w:val="A27E5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5E5D3B"/>
    <w:multiLevelType w:val="multilevel"/>
    <w:tmpl w:val="E7A09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63D93"/>
    <w:multiLevelType w:val="multilevel"/>
    <w:tmpl w:val="D824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065942"/>
    <w:multiLevelType w:val="multilevel"/>
    <w:tmpl w:val="04A4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425351"/>
    <w:multiLevelType w:val="multilevel"/>
    <w:tmpl w:val="4586A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F568CD"/>
    <w:multiLevelType w:val="multilevel"/>
    <w:tmpl w:val="9988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3E6932"/>
    <w:multiLevelType w:val="multilevel"/>
    <w:tmpl w:val="F428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6778F8"/>
    <w:multiLevelType w:val="multilevel"/>
    <w:tmpl w:val="23C8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D85EA3"/>
    <w:multiLevelType w:val="multilevel"/>
    <w:tmpl w:val="B020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294C6C"/>
    <w:multiLevelType w:val="multilevel"/>
    <w:tmpl w:val="41B0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F3C78"/>
    <w:multiLevelType w:val="multilevel"/>
    <w:tmpl w:val="04347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727D66"/>
    <w:multiLevelType w:val="multilevel"/>
    <w:tmpl w:val="2068A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0B0A4A"/>
    <w:multiLevelType w:val="multilevel"/>
    <w:tmpl w:val="DAEC4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4C64AA"/>
    <w:multiLevelType w:val="multilevel"/>
    <w:tmpl w:val="10A61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9D622A"/>
    <w:multiLevelType w:val="multilevel"/>
    <w:tmpl w:val="8386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0C5B95"/>
    <w:multiLevelType w:val="multilevel"/>
    <w:tmpl w:val="74927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D65CD1"/>
    <w:multiLevelType w:val="multilevel"/>
    <w:tmpl w:val="33AC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BA7CE9"/>
    <w:multiLevelType w:val="multilevel"/>
    <w:tmpl w:val="805C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726760">
    <w:abstractNumId w:val="5"/>
  </w:num>
  <w:num w:numId="2" w16cid:durableId="278613692">
    <w:abstractNumId w:val="3"/>
  </w:num>
  <w:num w:numId="3" w16cid:durableId="75320540">
    <w:abstractNumId w:val="22"/>
  </w:num>
  <w:num w:numId="4" w16cid:durableId="1882278743">
    <w:abstractNumId w:val="27"/>
  </w:num>
  <w:num w:numId="5" w16cid:durableId="1141850498">
    <w:abstractNumId w:val="29"/>
  </w:num>
  <w:num w:numId="6" w16cid:durableId="1608077319">
    <w:abstractNumId w:val="13"/>
  </w:num>
  <w:num w:numId="7" w16cid:durableId="456802661">
    <w:abstractNumId w:val="25"/>
  </w:num>
  <w:num w:numId="8" w16cid:durableId="1834568429">
    <w:abstractNumId w:val="1"/>
  </w:num>
  <w:num w:numId="9" w16cid:durableId="1715813076">
    <w:abstractNumId w:val="12"/>
  </w:num>
  <w:num w:numId="10" w16cid:durableId="1286541571">
    <w:abstractNumId w:val="4"/>
  </w:num>
  <w:num w:numId="11" w16cid:durableId="1530679411">
    <w:abstractNumId w:val="24"/>
  </w:num>
  <w:num w:numId="12" w16cid:durableId="1429346920">
    <w:abstractNumId w:val="10"/>
  </w:num>
  <w:num w:numId="13" w16cid:durableId="798886265">
    <w:abstractNumId w:val="16"/>
  </w:num>
  <w:num w:numId="14" w16cid:durableId="2031182339">
    <w:abstractNumId w:val="0"/>
  </w:num>
  <w:num w:numId="15" w16cid:durableId="2077849306">
    <w:abstractNumId w:val="19"/>
  </w:num>
  <w:num w:numId="16" w16cid:durableId="1935822824">
    <w:abstractNumId w:val="8"/>
  </w:num>
  <w:num w:numId="17" w16cid:durableId="1920092462">
    <w:abstractNumId w:val="23"/>
  </w:num>
  <w:num w:numId="18" w16cid:durableId="304893820">
    <w:abstractNumId w:val="9"/>
  </w:num>
  <w:num w:numId="19" w16cid:durableId="975259585">
    <w:abstractNumId w:val="6"/>
  </w:num>
  <w:num w:numId="20" w16cid:durableId="377706333">
    <w:abstractNumId w:val="2"/>
  </w:num>
  <w:num w:numId="21" w16cid:durableId="814296999">
    <w:abstractNumId w:val="7"/>
  </w:num>
  <w:num w:numId="22" w16cid:durableId="164369924">
    <w:abstractNumId w:val="20"/>
  </w:num>
  <w:num w:numId="23" w16cid:durableId="991638838">
    <w:abstractNumId w:val="18"/>
  </w:num>
  <w:num w:numId="24" w16cid:durableId="957106186">
    <w:abstractNumId w:val="11"/>
  </w:num>
  <w:num w:numId="25" w16cid:durableId="799155930">
    <w:abstractNumId w:val="28"/>
  </w:num>
  <w:num w:numId="26" w16cid:durableId="2063165302">
    <w:abstractNumId w:val="15"/>
  </w:num>
  <w:num w:numId="27" w16cid:durableId="235630255">
    <w:abstractNumId w:val="26"/>
  </w:num>
  <w:num w:numId="28" w16cid:durableId="1540169884">
    <w:abstractNumId w:val="21"/>
  </w:num>
  <w:num w:numId="29" w16cid:durableId="1151101216">
    <w:abstractNumId w:val="14"/>
  </w:num>
  <w:num w:numId="30" w16cid:durableId="1030405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DEB"/>
    <w:rsid w:val="001B259D"/>
    <w:rsid w:val="00227C10"/>
    <w:rsid w:val="0033644C"/>
    <w:rsid w:val="003E3138"/>
    <w:rsid w:val="003F0DB6"/>
    <w:rsid w:val="00400A57"/>
    <w:rsid w:val="004073BA"/>
    <w:rsid w:val="00462E0C"/>
    <w:rsid w:val="00531D80"/>
    <w:rsid w:val="006E0DEB"/>
    <w:rsid w:val="008974DB"/>
    <w:rsid w:val="00BC22D9"/>
    <w:rsid w:val="00D53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C8E36"/>
  <w15:chartTrackingRefBased/>
  <w15:docId w15:val="{8C72AA8D-4D93-459B-9064-3F24AF7C8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D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0D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D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D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D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D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0D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D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D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D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DEB"/>
    <w:rPr>
      <w:rFonts w:eastAsiaTheme="majorEastAsia" w:cstheme="majorBidi"/>
      <w:color w:val="272727" w:themeColor="text1" w:themeTint="D8"/>
    </w:rPr>
  </w:style>
  <w:style w:type="paragraph" w:styleId="Title">
    <w:name w:val="Title"/>
    <w:basedOn w:val="Normal"/>
    <w:next w:val="Normal"/>
    <w:link w:val="TitleChar"/>
    <w:uiPriority w:val="10"/>
    <w:qFormat/>
    <w:rsid w:val="006E0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D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DEB"/>
    <w:pPr>
      <w:spacing w:before="160"/>
      <w:jc w:val="center"/>
    </w:pPr>
    <w:rPr>
      <w:i/>
      <w:iCs/>
      <w:color w:val="404040" w:themeColor="text1" w:themeTint="BF"/>
    </w:rPr>
  </w:style>
  <w:style w:type="character" w:customStyle="1" w:styleId="QuoteChar">
    <w:name w:val="Quote Char"/>
    <w:basedOn w:val="DefaultParagraphFont"/>
    <w:link w:val="Quote"/>
    <w:uiPriority w:val="29"/>
    <w:rsid w:val="006E0DEB"/>
    <w:rPr>
      <w:i/>
      <w:iCs/>
      <w:color w:val="404040" w:themeColor="text1" w:themeTint="BF"/>
    </w:rPr>
  </w:style>
  <w:style w:type="paragraph" w:styleId="ListParagraph">
    <w:name w:val="List Paragraph"/>
    <w:basedOn w:val="Normal"/>
    <w:uiPriority w:val="34"/>
    <w:qFormat/>
    <w:rsid w:val="006E0DEB"/>
    <w:pPr>
      <w:ind w:left="720"/>
      <w:contextualSpacing/>
    </w:pPr>
  </w:style>
  <w:style w:type="character" w:styleId="IntenseEmphasis">
    <w:name w:val="Intense Emphasis"/>
    <w:basedOn w:val="DefaultParagraphFont"/>
    <w:uiPriority w:val="21"/>
    <w:qFormat/>
    <w:rsid w:val="006E0DEB"/>
    <w:rPr>
      <w:i/>
      <w:iCs/>
      <w:color w:val="0F4761" w:themeColor="accent1" w:themeShade="BF"/>
    </w:rPr>
  </w:style>
  <w:style w:type="paragraph" w:styleId="IntenseQuote">
    <w:name w:val="Intense Quote"/>
    <w:basedOn w:val="Normal"/>
    <w:next w:val="Normal"/>
    <w:link w:val="IntenseQuoteChar"/>
    <w:uiPriority w:val="30"/>
    <w:qFormat/>
    <w:rsid w:val="006E0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DEB"/>
    <w:rPr>
      <w:i/>
      <w:iCs/>
      <w:color w:val="0F4761" w:themeColor="accent1" w:themeShade="BF"/>
    </w:rPr>
  </w:style>
  <w:style w:type="character" w:styleId="IntenseReference">
    <w:name w:val="Intense Reference"/>
    <w:basedOn w:val="DefaultParagraphFont"/>
    <w:uiPriority w:val="32"/>
    <w:qFormat/>
    <w:rsid w:val="006E0DEB"/>
    <w:rPr>
      <w:b/>
      <w:bCs/>
      <w:smallCaps/>
      <w:color w:val="0F4761" w:themeColor="accent1" w:themeShade="BF"/>
      <w:spacing w:val="5"/>
    </w:rPr>
  </w:style>
  <w:style w:type="character" w:styleId="Hyperlink">
    <w:name w:val="Hyperlink"/>
    <w:basedOn w:val="DefaultParagraphFont"/>
    <w:uiPriority w:val="99"/>
    <w:unhideWhenUsed/>
    <w:rsid w:val="00400A57"/>
    <w:rPr>
      <w:color w:val="467886" w:themeColor="hyperlink"/>
      <w:u w:val="single"/>
    </w:rPr>
  </w:style>
  <w:style w:type="character" w:styleId="UnresolvedMention">
    <w:name w:val="Unresolved Mention"/>
    <w:basedOn w:val="DefaultParagraphFont"/>
    <w:uiPriority w:val="99"/>
    <w:semiHidden/>
    <w:unhideWhenUsed/>
    <w:rsid w:val="00400A57"/>
    <w:rPr>
      <w:color w:val="605E5C"/>
      <w:shd w:val="clear" w:color="auto" w:fill="E1DFDD"/>
    </w:rPr>
  </w:style>
  <w:style w:type="paragraph" w:styleId="Header">
    <w:name w:val="header"/>
    <w:basedOn w:val="Normal"/>
    <w:link w:val="HeaderChar"/>
    <w:uiPriority w:val="99"/>
    <w:unhideWhenUsed/>
    <w:rsid w:val="00531D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1D80"/>
  </w:style>
  <w:style w:type="paragraph" w:styleId="Footer">
    <w:name w:val="footer"/>
    <w:basedOn w:val="Normal"/>
    <w:link w:val="FooterChar"/>
    <w:uiPriority w:val="99"/>
    <w:unhideWhenUsed/>
    <w:rsid w:val="00531D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1D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28965">
      <w:bodyDiv w:val="1"/>
      <w:marLeft w:val="0"/>
      <w:marRight w:val="0"/>
      <w:marTop w:val="0"/>
      <w:marBottom w:val="0"/>
      <w:divBdr>
        <w:top w:val="none" w:sz="0" w:space="0" w:color="auto"/>
        <w:left w:val="none" w:sz="0" w:space="0" w:color="auto"/>
        <w:bottom w:val="none" w:sz="0" w:space="0" w:color="auto"/>
        <w:right w:val="none" w:sz="0" w:space="0" w:color="auto"/>
      </w:divBdr>
      <w:divsChild>
        <w:div w:id="565798883">
          <w:marLeft w:val="0"/>
          <w:marRight w:val="0"/>
          <w:marTop w:val="0"/>
          <w:marBottom w:val="0"/>
          <w:divBdr>
            <w:top w:val="none" w:sz="0" w:space="0" w:color="auto"/>
            <w:left w:val="none" w:sz="0" w:space="0" w:color="auto"/>
            <w:bottom w:val="none" w:sz="0" w:space="0" w:color="auto"/>
            <w:right w:val="none" w:sz="0" w:space="0" w:color="auto"/>
          </w:divBdr>
          <w:divsChild>
            <w:div w:id="814495362">
              <w:marLeft w:val="0"/>
              <w:marRight w:val="0"/>
              <w:marTop w:val="0"/>
              <w:marBottom w:val="0"/>
              <w:divBdr>
                <w:top w:val="none" w:sz="0" w:space="0" w:color="auto"/>
                <w:left w:val="none" w:sz="0" w:space="0" w:color="auto"/>
                <w:bottom w:val="none" w:sz="0" w:space="0" w:color="auto"/>
                <w:right w:val="none" w:sz="0" w:space="0" w:color="auto"/>
              </w:divBdr>
              <w:divsChild>
                <w:div w:id="82597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674847">
      <w:bodyDiv w:val="1"/>
      <w:marLeft w:val="0"/>
      <w:marRight w:val="0"/>
      <w:marTop w:val="0"/>
      <w:marBottom w:val="0"/>
      <w:divBdr>
        <w:top w:val="none" w:sz="0" w:space="0" w:color="auto"/>
        <w:left w:val="none" w:sz="0" w:space="0" w:color="auto"/>
        <w:bottom w:val="none" w:sz="0" w:space="0" w:color="auto"/>
        <w:right w:val="none" w:sz="0" w:space="0" w:color="auto"/>
      </w:divBdr>
      <w:divsChild>
        <w:div w:id="1866213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4757223">
      <w:bodyDiv w:val="1"/>
      <w:marLeft w:val="0"/>
      <w:marRight w:val="0"/>
      <w:marTop w:val="0"/>
      <w:marBottom w:val="0"/>
      <w:divBdr>
        <w:top w:val="none" w:sz="0" w:space="0" w:color="auto"/>
        <w:left w:val="none" w:sz="0" w:space="0" w:color="auto"/>
        <w:bottom w:val="none" w:sz="0" w:space="0" w:color="auto"/>
        <w:right w:val="none" w:sz="0" w:space="0" w:color="auto"/>
      </w:divBdr>
      <w:divsChild>
        <w:div w:id="670261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2208798">
      <w:bodyDiv w:val="1"/>
      <w:marLeft w:val="0"/>
      <w:marRight w:val="0"/>
      <w:marTop w:val="0"/>
      <w:marBottom w:val="0"/>
      <w:divBdr>
        <w:top w:val="none" w:sz="0" w:space="0" w:color="auto"/>
        <w:left w:val="none" w:sz="0" w:space="0" w:color="auto"/>
        <w:bottom w:val="none" w:sz="0" w:space="0" w:color="auto"/>
        <w:right w:val="none" w:sz="0" w:space="0" w:color="auto"/>
      </w:divBdr>
      <w:divsChild>
        <w:div w:id="113796525">
          <w:marLeft w:val="0"/>
          <w:marRight w:val="0"/>
          <w:marTop w:val="0"/>
          <w:marBottom w:val="0"/>
          <w:divBdr>
            <w:top w:val="none" w:sz="0" w:space="0" w:color="auto"/>
            <w:left w:val="none" w:sz="0" w:space="0" w:color="auto"/>
            <w:bottom w:val="none" w:sz="0" w:space="0" w:color="auto"/>
            <w:right w:val="none" w:sz="0" w:space="0" w:color="auto"/>
          </w:divBdr>
          <w:divsChild>
            <w:div w:id="1290742359">
              <w:marLeft w:val="0"/>
              <w:marRight w:val="0"/>
              <w:marTop w:val="0"/>
              <w:marBottom w:val="0"/>
              <w:divBdr>
                <w:top w:val="none" w:sz="0" w:space="0" w:color="auto"/>
                <w:left w:val="none" w:sz="0" w:space="0" w:color="auto"/>
                <w:bottom w:val="none" w:sz="0" w:space="0" w:color="auto"/>
                <w:right w:val="none" w:sz="0" w:space="0" w:color="auto"/>
              </w:divBdr>
              <w:divsChild>
                <w:div w:id="1004479032">
                  <w:marLeft w:val="0"/>
                  <w:marRight w:val="0"/>
                  <w:marTop w:val="0"/>
                  <w:marBottom w:val="0"/>
                  <w:divBdr>
                    <w:top w:val="none" w:sz="0" w:space="0" w:color="auto"/>
                    <w:left w:val="none" w:sz="0" w:space="0" w:color="auto"/>
                    <w:bottom w:val="none" w:sz="0" w:space="0" w:color="auto"/>
                    <w:right w:val="none" w:sz="0" w:space="0" w:color="auto"/>
                  </w:divBdr>
                </w:div>
              </w:divsChild>
            </w:div>
            <w:div w:id="1208418891">
              <w:marLeft w:val="0"/>
              <w:marRight w:val="0"/>
              <w:marTop w:val="0"/>
              <w:marBottom w:val="0"/>
              <w:divBdr>
                <w:top w:val="none" w:sz="0" w:space="0" w:color="auto"/>
                <w:left w:val="none" w:sz="0" w:space="0" w:color="auto"/>
                <w:bottom w:val="none" w:sz="0" w:space="0" w:color="auto"/>
                <w:right w:val="none" w:sz="0" w:space="0" w:color="auto"/>
              </w:divBdr>
              <w:divsChild>
                <w:div w:id="608008069">
                  <w:marLeft w:val="0"/>
                  <w:marRight w:val="0"/>
                  <w:marTop w:val="0"/>
                  <w:marBottom w:val="0"/>
                  <w:divBdr>
                    <w:top w:val="none" w:sz="0" w:space="0" w:color="auto"/>
                    <w:left w:val="none" w:sz="0" w:space="0" w:color="auto"/>
                    <w:bottom w:val="none" w:sz="0" w:space="0" w:color="auto"/>
                    <w:right w:val="none" w:sz="0" w:space="0" w:color="auto"/>
                  </w:divBdr>
                  <w:divsChild>
                    <w:div w:id="1966766299">
                      <w:marLeft w:val="0"/>
                      <w:marRight w:val="0"/>
                      <w:marTop w:val="0"/>
                      <w:marBottom w:val="0"/>
                      <w:divBdr>
                        <w:top w:val="none" w:sz="0" w:space="0" w:color="auto"/>
                        <w:left w:val="none" w:sz="0" w:space="0" w:color="auto"/>
                        <w:bottom w:val="none" w:sz="0" w:space="0" w:color="auto"/>
                        <w:right w:val="none" w:sz="0" w:space="0" w:color="auto"/>
                      </w:divBdr>
                      <w:divsChild>
                        <w:div w:id="178357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833718">
      <w:bodyDiv w:val="1"/>
      <w:marLeft w:val="0"/>
      <w:marRight w:val="0"/>
      <w:marTop w:val="0"/>
      <w:marBottom w:val="0"/>
      <w:divBdr>
        <w:top w:val="none" w:sz="0" w:space="0" w:color="auto"/>
        <w:left w:val="none" w:sz="0" w:space="0" w:color="auto"/>
        <w:bottom w:val="none" w:sz="0" w:space="0" w:color="auto"/>
        <w:right w:val="none" w:sz="0" w:space="0" w:color="auto"/>
      </w:divBdr>
    </w:div>
    <w:div w:id="1345748160">
      <w:bodyDiv w:val="1"/>
      <w:marLeft w:val="0"/>
      <w:marRight w:val="0"/>
      <w:marTop w:val="0"/>
      <w:marBottom w:val="0"/>
      <w:divBdr>
        <w:top w:val="none" w:sz="0" w:space="0" w:color="auto"/>
        <w:left w:val="none" w:sz="0" w:space="0" w:color="auto"/>
        <w:bottom w:val="none" w:sz="0" w:space="0" w:color="auto"/>
        <w:right w:val="none" w:sz="0" w:space="0" w:color="auto"/>
      </w:divBdr>
    </w:div>
    <w:div w:id="1458522156">
      <w:bodyDiv w:val="1"/>
      <w:marLeft w:val="0"/>
      <w:marRight w:val="0"/>
      <w:marTop w:val="0"/>
      <w:marBottom w:val="0"/>
      <w:divBdr>
        <w:top w:val="none" w:sz="0" w:space="0" w:color="auto"/>
        <w:left w:val="none" w:sz="0" w:space="0" w:color="auto"/>
        <w:bottom w:val="none" w:sz="0" w:space="0" w:color="auto"/>
        <w:right w:val="none" w:sz="0" w:space="0" w:color="auto"/>
      </w:divBdr>
    </w:div>
    <w:div w:id="1681660266">
      <w:bodyDiv w:val="1"/>
      <w:marLeft w:val="0"/>
      <w:marRight w:val="0"/>
      <w:marTop w:val="0"/>
      <w:marBottom w:val="0"/>
      <w:divBdr>
        <w:top w:val="none" w:sz="0" w:space="0" w:color="auto"/>
        <w:left w:val="none" w:sz="0" w:space="0" w:color="auto"/>
        <w:bottom w:val="none" w:sz="0" w:space="0" w:color="auto"/>
        <w:right w:val="none" w:sz="0" w:space="0" w:color="auto"/>
      </w:divBdr>
    </w:div>
    <w:div w:id="1910460067">
      <w:bodyDiv w:val="1"/>
      <w:marLeft w:val="0"/>
      <w:marRight w:val="0"/>
      <w:marTop w:val="0"/>
      <w:marBottom w:val="0"/>
      <w:divBdr>
        <w:top w:val="none" w:sz="0" w:space="0" w:color="auto"/>
        <w:left w:val="none" w:sz="0" w:space="0" w:color="auto"/>
        <w:bottom w:val="none" w:sz="0" w:space="0" w:color="auto"/>
        <w:right w:val="none" w:sz="0" w:space="0" w:color="auto"/>
      </w:divBdr>
      <w:divsChild>
        <w:div w:id="243993534">
          <w:marLeft w:val="0"/>
          <w:marRight w:val="0"/>
          <w:marTop w:val="0"/>
          <w:marBottom w:val="0"/>
          <w:divBdr>
            <w:top w:val="none" w:sz="0" w:space="0" w:color="auto"/>
            <w:left w:val="none" w:sz="0" w:space="0" w:color="auto"/>
            <w:bottom w:val="none" w:sz="0" w:space="0" w:color="auto"/>
            <w:right w:val="none" w:sz="0" w:space="0" w:color="auto"/>
          </w:divBdr>
          <w:divsChild>
            <w:div w:id="1250700028">
              <w:marLeft w:val="0"/>
              <w:marRight w:val="0"/>
              <w:marTop w:val="0"/>
              <w:marBottom w:val="0"/>
              <w:divBdr>
                <w:top w:val="none" w:sz="0" w:space="0" w:color="auto"/>
                <w:left w:val="none" w:sz="0" w:space="0" w:color="auto"/>
                <w:bottom w:val="none" w:sz="0" w:space="0" w:color="auto"/>
                <w:right w:val="none" w:sz="0" w:space="0" w:color="auto"/>
              </w:divBdr>
              <w:divsChild>
                <w:div w:id="204663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620087">
      <w:bodyDiv w:val="1"/>
      <w:marLeft w:val="0"/>
      <w:marRight w:val="0"/>
      <w:marTop w:val="0"/>
      <w:marBottom w:val="0"/>
      <w:divBdr>
        <w:top w:val="none" w:sz="0" w:space="0" w:color="auto"/>
        <w:left w:val="none" w:sz="0" w:space="0" w:color="auto"/>
        <w:bottom w:val="none" w:sz="0" w:space="0" w:color="auto"/>
        <w:right w:val="none" w:sz="0" w:space="0" w:color="auto"/>
      </w:divBdr>
      <w:divsChild>
        <w:div w:id="354430312">
          <w:marLeft w:val="0"/>
          <w:marRight w:val="0"/>
          <w:marTop w:val="0"/>
          <w:marBottom w:val="0"/>
          <w:divBdr>
            <w:top w:val="none" w:sz="0" w:space="0" w:color="auto"/>
            <w:left w:val="none" w:sz="0" w:space="0" w:color="auto"/>
            <w:bottom w:val="none" w:sz="0" w:space="0" w:color="auto"/>
            <w:right w:val="none" w:sz="0" w:space="0" w:color="auto"/>
          </w:divBdr>
          <w:divsChild>
            <w:div w:id="1333874140">
              <w:marLeft w:val="0"/>
              <w:marRight w:val="0"/>
              <w:marTop w:val="0"/>
              <w:marBottom w:val="0"/>
              <w:divBdr>
                <w:top w:val="none" w:sz="0" w:space="0" w:color="auto"/>
                <w:left w:val="none" w:sz="0" w:space="0" w:color="auto"/>
                <w:bottom w:val="none" w:sz="0" w:space="0" w:color="auto"/>
                <w:right w:val="none" w:sz="0" w:space="0" w:color="auto"/>
              </w:divBdr>
              <w:divsChild>
                <w:div w:id="155924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93BA222B086F94CB80A831AC79560FC" ma:contentTypeVersion="7" ma:contentTypeDescription="Create a new document." ma:contentTypeScope="" ma:versionID="adafe49bafdaf0f5bf351036e1d33e72">
  <xsd:schema xmlns:xsd="http://www.w3.org/2001/XMLSchema" xmlns:xs="http://www.w3.org/2001/XMLSchema" xmlns:p="http://schemas.microsoft.com/office/2006/metadata/properties" xmlns:ns2="e1558a10-1879-455f-b4fa-cfdedf85505e" targetNamespace="http://schemas.microsoft.com/office/2006/metadata/properties" ma:root="true" ma:fieldsID="274a109449ce62e251d7c6e0c4ce80bc" ns2:_="">
    <xsd:import namespace="e1558a10-1879-455f-b4fa-cfdedf8550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558a10-1879-455f-b4fa-cfdedf855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CE6809-4C78-4D88-943B-653587C6A648}">
  <ds:schemaRefs>
    <ds:schemaRef ds:uri="http://schemas.openxmlformats.org/officeDocument/2006/bibliography"/>
  </ds:schemaRefs>
</ds:datastoreItem>
</file>

<file path=customXml/itemProps2.xml><?xml version="1.0" encoding="utf-8"?>
<ds:datastoreItem xmlns:ds="http://schemas.openxmlformats.org/officeDocument/2006/customXml" ds:itemID="{51EC01C9-0C42-4D99-9EB1-66450FAEC7AD}"/>
</file>

<file path=customXml/itemProps3.xml><?xml version="1.0" encoding="utf-8"?>
<ds:datastoreItem xmlns:ds="http://schemas.openxmlformats.org/officeDocument/2006/customXml" ds:itemID="{DEC06FED-369C-4E00-AF11-3B05D68EC377}"/>
</file>

<file path=customXml/itemProps4.xml><?xml version="1.0" encoding="utf-8"?>
<ds:datastoreItem xmlns:ds="http://schemas.openxmlformats.org/officeDocument/2006/customXml" ds:itemID="{10FA1992-F2E7-4DF8-8D9C-AB858BBA8C53}"/>
</file>

<file path=docProps/app.xml><?xml version="1.0" encoding="utf-8"?>
<Properties xmlns="http://schemas.openxmlformats.org/officeDocument/2006/extended-properties" xmlns:vt="http://schemas.openxmlformats.org/officeDocument/2006/docPropsVTypes">
  <Template>Normal</Template>
  <TotalTime>412</TotalTime>
  <Pages>5</Pages>
  <Words>834</Words>
  <Characters>4760</Characters>
  <Application>Microsoft Office Word</Application>
  <DocSecurity>0</DocSecurity>
  <Lines>39</Lines>
  <Paragraphs>11</Paragraphs>
  <ScaleCrop>false</ScaleCrop>
  <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Quinn</dc:creator>
  <cp:keywords/>
  <dc:description/>
  <cp:lastModifiedBy>John Quinn</cp:lastModifiedBy>
  <cp:revision>2</cp:revision>
  <dcterms:created xsi:type="dcterms:W3CDTF">2025-11-09T02:42:00Z</dcterms:created>
  <dcterms:modified xsi:type="dcterms:W3CDTF">2025-11-09T02:42:00Z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0x010100B93BA222B086F94CB80A831AC79560FC</vt:lpwstr>
  </property>
</Properties>
</file>