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jc w:val="center"/>
      </w:pPr>
      <w:r>
        <w:rPr>
          <w:rFonts w:ascii="Calibri" w:hAnsi="Calibri"/>
          <w:b/>
          <w:color w:val="0A3D7C"/>
          <w:sz w:val="32"/>
        </w:rPr>
        <w:t>EXOS AEROSPACE</w:t>
      </w:r>
    </w:p>
    <w:p>
      <w:pPr>
        <w:spacing w:after="160"/>
        <w:jc w:val="center"/>
      </w:pPr>
      <w:r>
        <w:rPr>
          <w:rFonts w:ascii="Calibri" w:hAnsi="Calibri"/>
          <w:b/>
          <w:color w:val="E1551E"/>
          <w:sz w:val="23"/>
        </w:rPr>
        <w:t>AI-Native Industrial Power  ·  Integrated Pressurized Structures on moon-proven Type-V tanks — make every space vehicle reusable</w:t>
      </w:r>
    </w:p>
    <w:p>
      <w:pPr>
        <w:spacing w:after="200"/>
        <w:jc w:val="center"/>
      </w:pPr>
      <w:r>
        <w:rPr>
          <w:rFonts w:ascii="Calibri" w:hAnsi="Calibri"/>
          <w:i/>
          <w:color w:val="555555"/>
          <w:sz w:val="18"/>
        </w:rPr>
        <w:t>Confidential Investor One-Pager  ·  2026-10-10  ·  Proprietary — Unclassified  ·  Not an offer of securities</w:t>
      </w:r>
    </w:p>
    <w:p>
      <w:pPr>
        <w:spacing w:before="200" w:after="40"/>
      </w:pPr>
      <w:r>
        <w:rPr>
          <w:rFonts w:ascii="Calibri" w:hAnsi="Calibri"/>
          <w:b/>
          <w:color w:val="0A3D7C"/>
          <w:sz w:val="24"/>
        </w:rPr>
        <w:t>The one thing no one else has</w:t>
      </w:r>
    </w:p>
    <w:p>
      <w:pPr>
        <w:spacing w:after="120"/>
        <w:jc w:val="both"/>
      </w:pPr>
      <w:r>
        <w:rPr>
          <w:rFonts w:ascii="Calibri" w:hAnsi="Calibri"/>
          <w:b w:val="0"/>
          <w:i w:val="0"/>
          <w:color w:val="1A1A1A"/>
          <w:sz w:val="21"/>
        </w:rPr>
        <w:t>Reusable structures need far fewer parts and must survive cryogenic pressure cycles and launch loads flight after flight — where composites have historically microcracked in the cold. Scorpius Space Launch Company (SSLC), 18% owned by Exos today, solved it: its linerless Type-V composite tanks (TRL-9) flew as the fuel and LOX tanks on Intuitive Machines' Odysseus and Athena lunar landers, and the technology has made its first tank sale for an orbital transfer vehicle. The Series A completes our acquisition of Scorpius and brings it fully in-house.</w:t>
      </w:r>
      <w:r>
        <w:rPr>
          <w:rFonts w:ascii="Calibri" w:hAnsi="Calibri"/>
          <w:b/>
          <w:i w:val="0"/>
          <w:color w:val="1A1A1A"/>
          <w:sz w:val="21"/>
        </w:rPr>
      </w:r>
      <w:r>
        <w:rPr>
          <w:rFonts w:ascii="Calibri" w:hAnsi="Calibri"/>
          <w:b w:val="0"/>
          <w:i w:val="0"/>
          <w:color w:val="1A1A1A"/>
          <w:sz w:val="21"/>
        </w:rPr>
      </w:r>
      <w:r>
        <w:rPr>
          <w:rFonts w:ascii="Calibri" w:hAnsi="Calibri"/>
          <w:b/>
          <w:i w:val="0"/>
          <w:color w:val="1A1A1A"/>
          <w:sz w:val="21"/>
        </w:rPr>
      </w:r>
      <w:r>
        <w:rPr>
          <w:rFonts w:ascii="Calibri" w:hAnsi="Calibri"/>
          <w:b w:val="0"/>
          <w:i w:val="0"/>
          <w:color w:val="1A1A1A"/>
          <w:sz w:val="21"/>
        </w:rPr>
      </w:r>
      <w:r>
        <w:rPr>
          <w:rFonts w:ascii="Calibri" w:hAnsi="Calibri"/>
          <w:b w:val="0"/>
          <w:i/>
          <w:color w:val="1A1A1A"/>
          <w:sz w:val="21"/>
        </w:rPr>
      </w:r>
      <w:r>
        <w:rPr>
          <w:rFonts w:ascii="Calibri" w:hAnsi="Calibri"/>
          <w:b w:val="0"/>
          <w:i w:val="0"/>
          <w:color w:val="1A1A1A"/>
          <w:sz w:val="21"/>
        </w:rPr>
      </w:r>
      <w:r>
        <w:rPr>
          <w:rFonts w:ascii="Calibri" w:hAnsi="Calibri"/>
          <w:b/>
          <w:i w:val="0"/>
          <w:color w:val="1A1A1A"/>
          <w:sz w:val="21"/>
        </w:rPr>
      </w:r>
    </w:p>
    <w:p>
      <w:pPr>
        <w:spacing w:before="200" w:after="40"/>
      </w:pPr>
      <w:r>
        <w:rPr>
          <w:rFonts w:ascii="Calibri" w:hAnsi="Calibri"/>
          <w:b/>
          <w:color w:val="0A3D7C"/>
          <w:sz w:val="24"/>
        </w:rPr>
        <w:t>The market</w:t>
      </w:r>
    </w:p>
    <w:p>
      <w:pPr>
        <w:spacing w:after="120"/>
        <w:jc w:val="both"/>
      </w:pPr>
      <w:r>
        <w:rPr>
          <w:rFonts w:ascii="Calibri" w:hAnsi="Calibri"/>
          <w:b w:val="0"/>
          <w:i w:val="0"/>
          <w:color w:val="1A1A1A"/>
          <w:sz w:val="21"/>
        </w:rPr>
        <w:t xml:space="preserve">Composite space tanks are a </w:t>
      </w:r>
      <w:r>
        <w:rPr>
          <w:rFonts w:ascii="Calibri" w:hAnsi="Calibri"/>
          <w:b/>
          <w:i w:val="0"/>
          <w:color w:val="1A1A1A"/>
          <w:sz w:val="21"/>
        </w:rPr>
        <w:t>~$750M market today growing toward ~$4B/year</w:t>
      </w:r>
      <w:r>
        <w:rPr>
          <w:rFonts w:ascii="Calibri" w:hAnsi="Calibri"/>
          <w:b w:val="0"/>
          <w:i w:val="0"/>
          <w:color w:val="1A1A1A"/>
          <w:sz w:val="21"/>
        </w:rPr>
        <w:t xml:space="preserve"> as lunar outposts, in-space refueling, orbital-transfer vehicles, and commercial space stations scale. Primes build internally and are not TRL-9 tank specialists; the customers — Axiom (~$525M raised in 2026), Vast (~$1B backed), Intuitive Machines ($4.1B backlog), Loft, Momentus — need an </w:t>
      </w:r>
      <w:r>
        <w:rPr>
          <w:rFonts w:ascii="Calibri" w:hAnsi="Calibri"/>
          <w:b/>
          <w:i w:val="0"/>
          <w:color w:val="1A1A1A"/>
          <w:sz w:val="21"/>
        </w:rPr>
        <w:t>independent</w:t>
      </w:r>
      <w:r>
        <w:rPr>
          <w:rFonts w:ascii="Calibri" w:hAnsi="Calibri"/>
          <w:b w:val="0"/>
          <w:i w:val="0"/>
          <w:color w:val="1A1A1A"/>
          <w:sz w:val="21"/>
        </w:rPr>
        <w:t xml:space="preserve"> supplier who can deliver flight-grade tanks in </w:t>
      </w:r>
      <w:r>
        <w:rPr>
          <w:rFonts w:ascii="Calibri" w:hAnsi="Calibri"/>
          <w:b/>
          <w:i w:val="0"/>
          <w:color w:val="1A1A1A"/>
          <w:sz w:val="21"/>
        </w:rPr>
        <w:t>90 days, not two years, at roughly half the cost.</w:t>
      </w:r>
    </w:p>
    <w:p>
      <w:pPr>
        <w:spacing w:before="200" w:after="40"/>
      </w:pPr>
      <w:r>
        <w:rPr>
          <w:rFonts w:ascii="Calibri" w:hAnsi="Calibri"/>
          <w:b/>
          <w:color w:val="0A3D7C"/>
          <w:sz w:val="24"/>
        </w:rPr>
        <w:t>The three-phase product story</w:t>
      </w:r>
    </w:p>
    <w:p>
      <w:pPr>
        <w:spacing w:after="60"/>
        <w:ind w:left="432"/>
        <w:jc w:val="both"/>
      </w:pPr>
      <w:r>
        <w:rPr>
          <w:rFonts w:ascii="Calibri" w:hAnsi="Calibri"/>
          <w:color w:val="1A1A1A"/>
          <w:sz w:val="20"/>
        </w:rPr>
        <w:t>—  1 — Tanks. Integrating Scorpius's moon-proven Type-V tanks into IPS, fully in-house once the acquisition completes.</w:t>
      </w:r>
      <w:r>
        <w:rPr>
          <w:rFonts w:ascii="Calibri" w:hAnsi="Calibri"/>
          <w:b/>
          <w:i w:val="0"/>
          <w:color w:val="1A1A1A"/>
          <w:sz w:val="20"/>
        </w:rPr>
      </w:r>
      <w:r>
        <w:rPr>
          <w:rFonts w:ascii="Calibri" w:hAnsi="Calibri"/>
          <w:b w:val="0"/>
          <w:i w:val="0"/>
          <w:color w:val="1A1A1A"/>
          <w:sz w:val="20"/>
        </w:rPr>
      </w:r>
    </w:p>
    <w:p>
      <w:pPr>
        <w:spacing w:after="60"/>
        <w:ind w:left="432"/>
        <w:jc w:val="both"/>
      </w:pPr>
      <w:r>
        <w:rPr>
          <w:rFonts w:ascii="Calibri" w:hAnsi="Calibri"/>
          <w:color w:val="1A1A1A"/>
          <w:sz w:val="20"/>
        </w:rPr>
        <w:t xml:space="preserve">—  </w:t>
      </w:r>
      <w:r>
        <w:rPr>
          <w:rFonts w:ascii="Calibri" w:hAnsi="Calibri"/>
          <w:b/>
          <w:i w:val="0"/>
          <w:color w:val="1A1A1A"/>
          <w:sz w:val="20"/>
        </w:rPr>
        <w:t>2 — Tanks + engines.</w:t>
      </w:r>
      <w:r>
        <w:rPr>
          <w:rFonts w:ascii="Calibri" w:hAnsi="Calibri"/>
          <w:b w:val="0"/>
          <w:i w:val="0"/>
          <w:color w:val="1A1A1A"/>
          <w:sz w:val="20"/>
        </w:rPr>
        <w:t xml:space="preserve"> Integrated propulsion structures — pressure structures plus next-gen propulsion via a structured trade study (USAF Phase II; NASA MSFC) — Exos integrates and flight-tests, not a propulsion provider.</w:t>
      </w:r>
    </w:p>
    <w:p>
      <w:pPr>
        <w:spacing w:after="60"/>
        <w:ind w:left="432"/>
        <w:jc w:val="both"/>
      </w:pPr>
      <w:r>
        <w:rPr>
          <w:rFonts w:ascii="Calibri" w:hAnsi="Calibri"/>
          <w:color w:val="1A1A1A"/>
          <w:sz w:val="20"/>
        </w:rPr>
        <w:t xml:space="preserve">—  </w:t>
      </w:r>
      <w:r>
        <w:rPr>
          <w:rFonts w:ascii="Calibri" w:hAnsi="Calibri"/>
          <w:b/>
          <w:i w:val="0"/>
          <w:color w:val="1A1A1A"/>
          <w:sz w:val="20"/>
        </w:rPr>
        <w:t>3 — Launch services.</w:t>
      </w:r>
      <w:r>
        <w:rPr>
          <w:rFonts w:ascii="Calibri" w:hAnsi="Calibri"/>
          <w:b w:val="0"/>
          <w:i w:val="0"/>
          <w:color w:val="1A1A1A"/>
          <w:sz w:val="20"/>
        </w:rPr>
        <w:t xml:space="preserve"> The reusable BLK3 platform (BLK4 = future, gated orbital path) — flight-proven heritage (SARGE: 4 flights, 3 recoveries) that de-risks and pulls the tank + engine business through.</w:t>
      </w:r>
    </w:p>
    <w:p>
      <w:pPr>
        <w:spacing w:before="200" w:after="40"/>
      </w:pPr>
      <w:r>
        <w:rPr>
          <w:rFonts w:ascii="Calibri" w:hAnsi="Calibri"/>
          <w:b/>
          <w:color w:val="0A3D7C"/>
          <w:sz w:val="24"/>
        </w:rPr>
        <w:t>Why now — and why us</w:t>
      </w:r>
    </w:p>
    <w:p>
      <w:pPr>
        <w:spacing w:after="60"/>
        <w:ind w:left="432"/>
        <w:jc w:val="both"/>
      </w:pPr>
      <w:r>
        <w:rPr>
          <w:rFonts w:ascii="Calibri" w:hAnsi="Calibri"/>
          <w:color w:val="1A1A1A"/>
          <w:sz w:val="20"/>
        </w:rPr>
        <w:t xml:space="preserve">—  </w:t>
      </w:r>
      <w:r>
        <w:rPr>
          <w:rFonts w:ascii="Calibri" w:hAnsi="Calibri"/>
          <w:b/>
          <w:i w:val="0"/>
          <w:color w:val="1A1A1A"/>
          <w:sz w:val="20"/>
        </w:rPr>
        <w:t>Flight-proven team, two decades deep</w:t>
      </w:r>
      <w:r>
        <w:rPr>
          <w:rFonts w:ascii="Calibri" w:hAnsi="Calibri"/>
          <w:b w:val="0"/>
          <w:i w:val="0"/>
          <w:color w:val="1A1A1A"/>
          <w:sz w:val="20"/>
        </w:rPr>
        <w:t xml:space="preserve"> (Armadillo/Carmack lineage; reused a suborbital vehicle 3×) — one of only three FAA-licensed reusable rocket launch providers in the U.S.</w:t>
      </w:r>
    </w:p>
    <w:p>
      <w:pPr>
        <w:spacing w:after="60"/>
        <w:ind w:left="432"/>
        <w:jc w:val="both"/>
      </w:pPr>
      <w:r>
        <w:rPr>
          <w:rFonts w:ascii="Calibri" w:hAnsi="Calibri"/>
          <w:color w:val="1A1A1A"/>
          <w:sz w:val="20"/>
        </w:rPr>
        <w:t xml:space="preserve">—  </w:t>
      </w:r>
      <w:r>
        <w:rPr>
          <w:rFonts w:ascii="Calibri" w:hAnsi="Calibri"/>
          <w:b/>
          <w:i w:val="0"/>
          <w:color w:val="1A1A1A"/>
          <w:sz w:val="20"/>
        </w:rPr>
        <w:t>Real government pull:</w:t>
      </w:r>
      <w:r>
        <w:rPr>
          <w:rFonts w:ascii="Calibri" w:hAnsi="Calibri"/>
          <w:b w:val="0"/>
          <w:i w:val="0"/>
          <w:color w:val="1A1A1A"/>
          <w:sz w:val="20"/>
        </w:rPr>
        <w:t xml:space="preserve"> USAF hypersonic + DoD RDRE programs; prime on the ~$2.6B AEDC Velocity Alliance; Congressional Commission on the Future of the Navy hosted at our facility.</w:t>
      </w:r>
    </w:p>
    <w:p>
      <w:pPr>
        <w:spacing w:after="60"/>
        <w:ind w:left="432"/>
        <w:jc w:val="both"/>
      </w:pPr>
      <w:r>
        <w:rPr>
          <w:rFonts w:ascii="Calibri" w:hAnsi="Calibri"/>
          <w:color w:val="1A1A1A"/>
          <w:sz w:val="20"/>
        </w:rPr>
        <w:t>—  An AI-native operating platform (Mission Control) that runs the company and integrates each consortium partner fast — public-grade cadence without a public-company G&amp;A stack.</w:t>
      </w:r>
      <w:r>
        <w:rPr>
          <w:rFonts w:ascii="Calibri" w:hAnsi="Calibri"/>
          <w:b/>
          <w:i w:val="0"/>
          <w:color w:val="1A1A1A"/>
          <w:sz w:val="20"/>
        </w:rPr>
      </w:r>
      <w:r>
        <w:rPr>
          <w:rFonts w:ascii="Calibri" w:hAnsi="Calibri"/>
          <w:b w:val="0"/>
          <w:i w:val="0"/>
          <w:color w:val="1A1A1A"/>
          <w:sz w:val="20"/>
        </w:rPr>
      </w:r>
    </w:p>
    <w:p>
      <w:pPr>
        <w:spacing w:after="60"/>
        <w:ind w:left="432"/>
        <w:jc w:val="both"/>
      </w:pPr>
      <w:r>
        <w:rPr>
          <w:rFonts w:ascii="Calibri" w:hAnsi="Calibri"/>
          <w:color w:val="1A1A1A"/>
          <w:sz w:val="20"/>
        </w:rPr>
        <w:t xml:space="preserve">—  </w:t>
      </w:r>
      <w:r>
        <w:rPr>
          <w:rFonts w:ascii="Calibri" w:hAnsi="Calibri"/>
          <w:b/>
          <w:i w:val="0"/>
          <w:color w:val="1A1A1A"/>
          <w:sz w:val="20"/>
        </w:rPr>
        <w:t>Timing:</w:t>
      </w:r>
      <w:r>
        <w:rPr>
          <w:rFonts w:ascii="Calibri" w:hAnsi="Calibri"/>
          <w:b w:val="0"/>
          <w:i w:val="0"/>
          <w:color w:val="1A1A1A"/>
          <w:sz w:val="20"/>
        </w:rPr>
        <w:t xml:space="preserve"> defense and aerospace are the two hot capital sectors; the SpaceX moment reset the market. This window may not be here in six months.</w:t>
      </w:r>
    </w:p>
    <w:p>
      <w:pPr>
        <w:spacing w:before="200" w:after="40"/>
      </w:pPr>
      <w:r>
        <w:rPr>
          <w:rFonts w:ascii="Calibri" w:hAnsi="Calibri"/>
          <w:b/>
          <w:color w:val="0A3D7C"/>
          <w:sz w:val="24"/>
        </w:rPr>
        <w:t>The play &amp; the ask</w:t>
      </w:r>
    </w:p>
    <w:p>
      <w:pPr>
        <w:spacing w:after="120"/>
        <w:jc w:val="both"/>
      </w:pPr>
      <w:r>
        <w:rPr>
          <w:rFonts w:ascii="Calibri" w:hAnsi="Calibri"/>
          <w:b w:val="0"/>
          <w:i w:val="0"/>
          <w:color w:val="1A1A1A"/>
          <w:sz w:val="21"/>
        </w:rPr>
        <w:t>We're raising a $10 million Series A to do three things: complete our acquisition of Scorpius and bring its composite cryogenic tank technology fully in-house; finish and fly BLK3; and advance next-generation propulsion through a structured trade study.</w:t>
      </w:r>
      <w:r>
        <w:rPr>
          <w:rFonts w:ascii="Calibri" w:hAnsi="Calibri"/>
          <w:b/>
          <w:i w:val="0"/>
          <w:color w:val="1A1A1A"/>
          <w:sz w:val="21"/>
        </w:rPr>
      </w:r>
      <w:r>
        <w:rPr>
          <w:rFonts w:ascii="Calibri" w:hAnsi="Calibri"/>
          <w:b w:val="0"/>
          <w:i w:val="0"/>
          <w:color w:val="1A1A1A"/>
          <w:sz w:val="21"/>
        </w:rPr>
      </w:r>
      <w:r>
        <w:rPr>
          <w:rFonts w:ascii="Calibri" w:hAnsi="Calibri"/>
          <w:b/>
          <w:i w:val="0"/>
          <w:color w:val="1A1A1A"/>
          <w:sz w:val="21"/>
        </w:rPr>
      </w:r>
      <w:r>
        <w:rPr>
          <w:rFonts w:ascii="Calibri" w:hAnsi="Calibri"/>
          <w:b w:val="0"/>
          <w:i w:val="0"/>
          <w:color w:val="1A1A1A"/>
          <w:sz w:val="21"/>
        </w:rPr>
      </w:r>
    </w:p>
    <w:p>
      <w:pPr>
        <w:spacing w:before="160"/>
        <w:jc w:val="both"/>
      </w:pPr>
      <w:r>
        <w:rPr>
          <w:rFonts w:ascii="Calibri" w:hAnsi="Calibri"/>
          <w:i/>
          <w:color w:val="555555"/>
          <w:sz w:val="17"/>
        </w:rPr>
        <w:t>Confidential — for the named recipient only. Prepared by Exos Aerospace Systems &amp; Technologies, Inc. (John Quinn, Cofounder &amp; CEO, jquinn@exosaero.com). Figures are working assumptions / figures of record (409A 3/31/26: $169.7M equity, $8.66/sh). Positioning held to TRL-9 / moon-proven; no first/only absolutes. Not an offer to sell or a solicitation to buy any security; any offering is made only through definitive documents and subject to due diligence and applicable securities, export-control, and CFIUS law.</w:t>
      </w:r>
    </w:p>
    <w:sectPr w:rsidR="00D02269" w:rsidRPr="00D02269" w:rsidSect="00D02269">
      <w:headerReference w:type="default" r:id="rId8"/>
      <w:footerReference w:type="default" r:id="rId10"/>
      <w:pgSz w:w="12240" w:h="15840"/>
      <w:pgMar w:top="1584" w:right="576" w:bottom="151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6E132" w14:textId="77777777" w:rsidR="00D26A34" w:rsidRDefault="00D26A34" w:rsidP="00A00680">
      <w:r>
        <w:separator/>
      </w:r>
    </w:p>
  </w:endnote>
  <w:endnote w:type="continuationSeparator" w:id="0">
    <w:p w14:paraId="25E30D32" w14:textId="77777777" w:rsidR="00D26A34" w:rsidRDefault="00D26A34"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ED0E1" w14:textId="77777777" w:rsidR="00633CFF" w:rsidRDefault="00633C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7558C" w14:textId="1D737069" w:rsidR="000E6BAA" w:rsidRDefault="00D02269">
    <w:pPr>
      <w:pStyle w:val="Footer"/>
    </w:pPr>
    <w:r>
      <w:rPr>
        <w:noProof/>
      </w:rPr>
      <w:drawing>
        <wp:anchor distT="0" distB="0" distL="114300" distR="114300" simplePos="0" relativeHeight="251659264" behindDoc="1" locked="0" layoutInCell="1" allowOverlap="1" wp14:anchorId="70AC3D5D" wp14:editId="5FA2EED9">
          <wp:simplePos x="0" y="0"/>
          <wp:positionH relativeFrom="column">
            <wp:posOffset>356870</wp:posOffset>
          </wp:positionH>
          <wp:positionV relativeFrom="paragraph">
            <wp:posOffset>-403337</wp:posOffset>
          </wp:positionV>
          <wp:extent cx="6492240" cy="1063625"/>
          <wp:effectExtent l="0" t="0" r="0" b="3175"/>
          <wp:wrapNone/>
          <wp:docPr id="4" name="Picture 4"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6492240" cy="106362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E9E68" w14:textId="77777777" w:rsidR="00D26A34" w:rsidRDefault="00D26A34" w:rsidP="00A00680">
      <w:r>
        <w:separator/>
      </w:r>
    </w:p>
  </w:footnote>
  <w:footnote w:type="continuationSeparator" w:id="0">
    <w:p w14:paraId="0C046CEB" w14:textId="77777777" w:rsidR="00D26A34" w:rsidRDefault="00D26A34"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D5EFF" w14:textId="77777777" w:rsidR="00633CFF" w:rsidRDefault="00633C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0C9F5" w14:textId="4A8A1DDC" w:rsidR="00A00680" w:rsidRDefault="000E6BAA" w:rsidP="00D02269">
    <w:pPr>
      <w:pStyle w:val="Header"/>
      <w:tabs>
        <w:tab w:val="right" w:pos="4680"/>
      </w:tabs>
      <w:jc w:val="right"/>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0ADAEF45">
          <wp:simplePos x="0" y="0"/>
          <wp:positionH relativeFrom="column">
            <wp:posOffset>-904240</wp:posOffset>
          </wp:positionH>
          <wp:positionV relativeFrom="paragraph">
            <wp:posOffset>-467360</wp:posOffset>
          </wp:positionV>
          <wp:extent cx="5943600" cy="1227455"/>
          <wp:effectExtent l="0" t="0" r="0" b="4445"/>
          <wp:wrapNone/>
          <wp:docPr id="3" name="Picture 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5943600" cy="1227455"/>
                  </a:xfrm>
                  <a:prstGeom prst="rect">
                    <a:avLst/>
                  </a:prstGeom>
                </pic:spPr>
              </pic:pic>
            </a:graphicData>
          </a:graphic>
          <wp14:sizeRelH relativeFrom="page">
            <wp14:pctWidth>0</wp14:pctWidth>
          </wp14:sizeRelH>
          <wp14:sizeRelV relativeFrom="page">
            <wp14:pctHeight>0</wp14:pctHeight>
          </wp14:sizeRelV>
        </wp:anchor>
      </w:drawing>
    </w:r>
    <w:r w:rsidRPr="000E6BAA">
      <w:rPr>
        <w:rFonts w:ascii="Tahoma" w:hAnsi="Tahoma" w:cs="Tahoma"/>
        <w:color w:val="808080" w:themeColor="background1" w:themeShade="80"/>
      </w:rPr>
      <w:t xml:space="preserve">299 </w:t>
    </w:r>
    <w:r>
      <w:rPr>
        <w:rFonts w:ascii="Tahoma" w:hAnsi="Tahoma" w:cs="Tahoma"/>
        <w:color w:val="808080" w:themeColor="background1" w:themeShade="80"/>
      </w:rPr>
      <w:t>FM 1903 Greenville, TX. 75402</w:t>
    </w:r>
  </w:p>
  <w:p w14:paraId="2FA86B3F" w14:textId="77224C8A" w:rsidR="000E6BAA" w:rsidRDefault="00633CFF" w:rsidP="000E6BAA">
    <w:pPr>
      <w:pStyle w:val="Header"/>
      <w:jc w:val="right"/>
      <w:rPr>
        <w:rFonts w:ascii="Tahoma" w:hAnsi="Tahoma" w:cs="Tahoma"/>
        <w:color w:val="808080" w:themeColor="background1" w:themeShade="80"/>
      </w:rPr>
    </w:pPr>
    <w:r>
      <w:rPr>
        <w:rFonts w:ascii="Tahoma" w:hAnsi="Tahoma" w:cs="Tahoma"/>
        <w:color w:val="808080" w:themeColor="background1" w:themeShade="80"/>
      </w:rPr>
      <w:t>www.</w:t>
    </w:r>
    <w:r w:rsidR="000E6BAA">
      <w:rPr>
        <w:rFonts w:ascii="Tahoma" w:hAnsi="Tahoma" w:cs="Tahoma"/>
        <w:color w:val="808080" w:themeColor="background1" w:themeShade="80"/>
      </w:rPr>
      <w:t>exosaero.com</w:t>
    </w:r>
  </w:p>
  <w:p w14:paraId="77BB0A6B" w14:textId="1234CAD0" w:rsidR="000E6BAA" w:rsidRPr="000E6BAA" w:rsidRDefault="000E6BAA" w:rsidP="000E6BAA">
    <w:pPr>
      <w:pStyle w:val="Header"/>
      <w:jc w:val="right"/>
      <w:rPr>
        <w:rFonts w:ascii="Tahoma" w:hAnsi="Tahoma" w:cs="Tahoma"/>
        <w:color w:val="808080" w:themeColor="background1" w:themeShade="80"/>
      </w:rPr>
    </w:pPr>
    <w:r>
      <w:rPr>
        <w:rFonts w:ascii="Tahoma" w:hAnsi="Tahoma" w:cs="Tahoma"/>
        <w:color w:val="808080" w:themeColor="background1" w:themeShade="80"/>
      </w:rPr>
      <w:t>info@exosaero.com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E6BAA"/>
    <w:rsid w:val="001C5A7E"/>
    <w:rsid w:val="00347922"/>
    <w:rsid w:val="00454EA1"/>
    <w:rsid w:val="00633CFF"/>
    <w:rsid w:val="008D5214"/>
    <w:rsid w:val="00905EFA"/>
    <w:rsid w:val="00A00680"/>
    <w:rsid w:val="00AF12DB"/>
    <w:rsid w:val="00B9321D"/>
    <w:rsid w:val="00D02269"/>
    <w:rsid w:val="00D26A34"/>
    <w:rsid w:val="00FA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2.xml><?xml version="1.0" encoding="utf-8"?>
<ds:datastoreItem xmlns:ds="http://schemas.openxmlformats.org/officeDocument/2006/customXml" ds:itemID="{5F3848DE-1550-4109-A71E-7ACAD68AFED3}"/>
</file>

<file path=customXml/itemProps3.xml><?xml version="1.0" encoding="utf-8"?>
<ds:datastoreItem xmlns:ds="http://schemas.openxmlformats.org/officeDocument/2006/customXml" ds:itemID="{0CFE3284-22CC-4486-B882-FCBB54DA1AA9}"/>
</file>

<file path=customXml/itemProps4.xml><?xml version="1.0" encoding="utf-8"?>
<ds:datastoreItem xmlns:ds="http://schemas.openxmlformats.org/officeDocument/2006/customXml" ds:itemID="{07C65BD1-C317-4C37-AB44-0EAA70E572C1}"/>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jquinn</cp:lastModifiedBy>
  <cp:revision>2</cp:revision>
  <dcterms:created xsi:type="dcterms:W3CDTF">2023-10-10T16:06:00Z</dcterms:created>
  <dcterms:modified xsi:type="dcterms:W3CDTF">2023-10-10T16:06:00Z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