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26"/>
        </w:rPr>
        <w:t>EXOS AEROSPACE  ·  Internal Change Memo</w:t>
      </w:r>
    </w:p>
    <w:p>
      <w:r>
        <w:rPr>
          <w:b/>
        </w:rPr>
        <w:t xml:space="preserve">Date: </w:t>
      </w:r>
      <w:r>
        <w:t>2026-10-06</w:t>
      </w:r>
      <w:r>
        <w:rPr>
          <w:b/>
        </w:rPr>
        <w:t xml:space="preserve">    From: </w:t>
      </w:r>
      <w:r>
        <w:t>Exo (AI fleet)</w:t>
      </w:r>
      <w:r>
        <w:rPr>
          <w:b/>
        </w:rPr>
        <w:t xml:space="preserve">    To: </w:t>
      </w:r>
      <w:r>
        <w:t>Jon Quinn, CEO</w:t>
      </w:r>
    </w:p>
    <w:p>
      <w:r>
        <w:rPr>
          <w:b/>
        </w:rPr>
        <w:t xml:space="preserve">Re: </w:t>
      </w:r>
      <w:r>
        <w:rPr>
          <w:b/>
          <w:sz w:val="22"/>
        </w:rPr>
        <w:t>Financial Model &amp; MTP Document Changes — v13 to v15</w:t>
      </w:r>
    </w:p>
    <w:p>
      <w:pPr>
        <w:spacing w:before="80" w:after="80"/>
      </w:pPr>
      <w:r>
        <w:rPr>
          <w:color w:val="AAAAAA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Background</w:t>
      </w:r>
    </w:p>
    <w:p>
      <w:r>
        <w:t>Jon issued a correction at 22:23 CDT on 2026-10-06 after reviewing v14: the revenue benchmark in the Consortium M&amp;A model and MTP document was incorrectly set to the 15% SSLC commission stream. The correct benchmark is the former Scorpius asset acquisition revenue (from the pre-ROFR expiry plan, v12 model), not the commission. This memo summarizes every change from v13 through v15.</w:t>
      </w:r>
    </w:p>
    <w:p>
      <w:pPr>
        <w:spacing w:before="80" w:after="80"/>
      </w:pPr>
      <w:r>
        <w:rPr>
          <w:color w:val="AAAAAA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v13 Changes (2026-10-06, 22:24 initial model)</w:t>
      </w:r>
    </w:p>
    <w:p>
      <w:pPr>
        <w:pStyle w:val="ListBullet"/>
      </w:pPr>
      <w:r>
        <w:t>Source: EXOS_Financial_Model_Full_Revenue_FIXED_v12_FY2025actuals.xlsx → v13.</w:t>
      </w:r>
    </w:p>
    <w:p>
      <w:pPr>
        <w:pStyle w:val="ListBullet"/>
      </w:pPr>
      <w:r>
        <w:t>Baseline restatement: removed Scorpius consolidation (ROFR expired 2026-10-06). Exos standalone only. Scorpius/SSLC = 15% sales commission + 18% passive equity at cost.</w:t>
      </w:r>
    </w:p>
    <w:p>
      <w:pPr>
        <w:pStyle w:val="ListBullet"/>
      </w:pPr>
      <w:r>
        <w:t>New SSLC Commission-Only Inputs section added to Assumptions sheet (rows 32–46): commission rate (15%), Exos-originated 3rd-party sales ramp ($0→$1M/yr Y1–Y5), Exos own SSLC purchases rebate ($454K→$1.5M/yr), upside sensitivity (IM book memo-only).</w:t>
      </w:r>
    </w:p>
    <w:p>
      <w:pPr>
        <w:pStyle w:val="ListBullet"/>
      </w:pPr>
      <w:r>
        <w:t>"Use of Funds (ROFR rewrite)" sheet added to replace the now-void Scorpius acquisition use-of-funds.</w:t>
      </w:r>
    </w:p>
    <w:p>
      <w:pPr>
        <w:pStyle w:val="ListBullet"/>
      </w:pPr>
      <w:r>
        <w:t>ChangeLog sheet added. All yellow = assumption (Jon to confirm); green = changed.</w:t>
      </w:r>
    </w:p>
    <w:p>
      <w:pPr>
        <w:spacing w:before="80" w:after="80"/>
      </w:pPr>
      <w:r>
        <w:rPr>
          <w:color w:val="AAAAAA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v14 Changes (2026-10-06, initial Consortium M&amp;A layer)</w:t>
      </w:r>
    </w:p>
    <w:p>
      <w:pPr>
        <w:pStyle w:val="ListBullet"/>
      </w:pPr>
      <w:r>
        <w:t>Consortium M&amp;A Engine Assumptions section added (Assumptions rows 48–79): deal cadence (9-month cycles), C1–C4 revenue estimates, multiples, integration costs, ramp curves, funded-vs-demonstrated gate (hard rule per Jon 9/25), fit-scorer note.</w:t>
      </w:r>
    </w:p>
    <w:p>
      <w:pPr>
        <w:pStyle w:val="ListBullet"/>
      </w:pPr>
      <w:r>
        <w:t>MTP document Exos_MTP_Consortium_MA_Engine_2026-10-06.docx created (v1): Sections 1–8, 4-cycle pipeline, candidate gap pipeline, cycle table, revenue table.</w:t>
      </w:r>
    </w:p>
    <w:p>
      <w:pPr>
        <w:pStyle w:val="ListBullet"/>
      </w:pPr>
      <w:r>
        <w:t>ERROR (corrected in v15): Section 6 benchmark set to "Scorpius Commission Share over Time" (the 15% commission), not the acquisition revenue. Cycle count stated as "~13 total" (incorrect).</w:t>
      </w:r>
    </w:p>
    <w:p>
      <w:pPr>
        <w:spacing w:before="80" w:after="80"/>
      </w:pPr>
      <w:r>
        <w:rPr>
          <w:color w:val="AAAAAA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v15 Changes (2026-10-06, Jon correction 22:23 CDT)</w:t>
      </w:r>
    </w:p>
    <w:p>
      <w:pPr>
        <w:pStyle w:val="ListBullet"/>
      </w:pPr>
      <w:r>
        <w:t>XLSX — Assumptions row 7: projection basis updated. Thesis now reads:</w:t>
      </w:r>
    </w:p>
    <w:p>
      <w:pPr>
        <w:pStyle w:val="ListBullet2"/>
        <w:ind w:left="720"/>
      </w:pPr>
      <w:r>
        <w:t>"The Consortium M&amp;A cadence replaces and exceeds the consolidated Scorpius acquisition revenue that the expired ROFR took off the table."</w:t>
      </w:r>
    </w:p>
    <w:p>
      <w:pPr>
        <w:pStyle w:val="ListBullet"/>
      </w:pPr>
      <w:r>
        <w:t>XLSX — New Assumptions section (rows 82–96): SCORPIUS ACQUISITION BENCHMARK. Source: v12 consolidated plan. Year-by-year benchmark: Y1=$0.9M, Y2=$3.5M, Y3=$5.25M, Y4=$10.5M, Y5=$21.0M. Consortium base-case row, gap row, % closed row.</w:t>
      </w:r>
    </w:p>
    <w:p>
      <w:pPr>
        <w:pStyle w:val="ListBullet"/>
      </w:pPr>
      <w:r>
        <w:t>XLSX — Cycles-to-close corrected: from "~13 cycles total" to "~10 cycles total." Basis: Oct-2026 → Y8 start (Jul-2033) = 81 months = 9 complete cycles; crossover occurs in cycle 10 (C10: Jul-2033 – Mar-2034). 4 modeled (C1–C4) + 6 additional (C5–C10) = 10 total.</w:t>
      </w:r>
    </w:p>
    <w:p>
      <w:pPr>
        <w:pStyle w:val="ListBullet"/>
      </w:pPr>
      <w:r>
        <w:t>MTP doc rebuilt as v2 (Exos_MTP_Consortium_MA_Engine_v2_2026-10-06.docx/.pdf):</w:t>
      </w:r>
    </w:p>
    <w:p>
      <w:pPr>
        <w:pStyle w:val="ListBullet"/>
        <w:ind w:left="720"/>
      </w:pPr>
      <w:r>
        <w:t>Section 1: MTP thesis updated to acquisition-benchmark framing.</w:t>
      </w:r>
    </w:p>
    <w:p>
      <w:pPr>
        <w:pStyle w:val="ListBullet"/>
        <w:ind w:left="720"/>
      </w:pPr>
      <w:r>
        <w:t>Section 6 heading: "Revenue Diversification — Consortium M&amp;A vs. Scorpius Acquisition Benchmark."</w:t>
      </w:r>
    </w:p>
    <w:p>
      <w:pPr>
        <w:pStyle w:val="ListBullet"/>
        <w:ind w:left="720"/>
      </w:pPr>
      <w:r>
        <w:t>Section 6 table: replaced commission-share table with benchmark/gap table (Y1–Y5 + Y8 crossover row).</w:t>
      </w:r>
    </w:p>
    <w:p>
      <w:pPr>
        <w:pStyle w:val="ListBullet"/>
        <w:ind w:left="720"/>
      </w:pPr>
      <w:r>
        <w:t>Section 6: actual rendered Revenue Diversification chart inserted (Fig. 1 — dashed orange = benchmark, blue bars = consortium, green = commission).</w:t>
      </w:r>
    </w:p>
    <w:p>
      <w:pPr>
        <w:pStyle w:val="ListBullet"/>
        <w:ind w:left="720"/>
      </w:pPr>
      <w:r>
        <w:t>Section 6 visual narrative: updated to describe benchmark vs. consortium gap.</w:t>
      </w:r>
    </w:p>
    <w:p>
      <w:pPr>
        <w:pStyle w:val="ListBullet"/>
        <w:ind w:left="720"/>
      </w:pPr>
      <w:r>
        <w:t>All v14 references updated to v15.</w:t>
      </w:r>
    </w:p>
    <w:p>
      <w:pPr>
        <w:pStyle w:val="ListBullet"/>
        <w:ind w:left="720"/>
      </w:pPr>
      <w:r>
        <w:t>Cycle count corrected to ~10 throughout.</w:t>
      </w:r>
    </w:p>
    <w:p>
      <w:pPr>
        <w:pStyle w:val="ListBullet"/>
        <w:ind w:left="720"/>
      </w:pPr>
      <w:r>
        <w:t>Section 8 Decision card reference updated to D-MTP-CONSORTIUM-MA-V15-2026-10-06.</w:t>
      </w:r>
    </w:p>
    <w:p>
      <w:pPr>
        <w:spacing w:before="80" w:after="80"/>
      </w:pPr>
      <w:r>
        <w:rPr>
          <w:color w:val="AAAAAA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 File Paths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drafts/EXOS_Financial_Model_CommissionOnly_Consortium_v15_2026-10-06.xlsx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Canonical model — v15 (Scorpius benchmark + corrected cycle math)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drafts/Exos_MTP_Consortium_MA_Engine_v2_2026-10-06.docx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MTP document v2 — corrected thesis + benchmark table + chart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drafts/Exos_MTP_Consortium_MA_Engine_v2_2026-10-06.pdf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MTP v2 PDF (LibreOffice render; chart verified embedded)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drafts/revenue_diversification_chart.png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Source chart PNG (embedded in MTP v2 doc)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drafts/EXOS_Financial_Model_Change_Memo_v13_to_v15_2026-10-06.docx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This change memo</w:t>
            </w:r>
          </w:p>
        </w:tc>
      </w:tr>
    </w:tbl>
    <w:p>
      <w:pPr>
        <w:spacing w:before="80" w:after="80"/>
      </w:pPr>
      <w:r>
        <w:rPr>
          <w:color w:val="AAAAAA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Pending</w:t>
      </w:r>
    </w:p>
    <w:p>
      <w:r>
        <w:t>Decision card D-MTP-CONSORTIUM-MA-V15-2026-10-06 posted to Mission Control (see decision ID returned by Decisions ingest). Jon approval required before v15 is promoted to the Series A data room or shared externally.</w:t>
      </w:r>
    </w:p>
    <w:p>
      <w:r>
        <w:rPr>
          <w:sz w:val="16"/>
        </w:rPr>
        <w:br/>
        <w:t>CONFIDENTIAL — INTERNAL USE ONLY.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