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</w:pPr>
      <w:r>
        <w:rPr>
          <w:b/>
          <w:sz w:val="28"/>
        </w:rPr>
        <w:t>EXOS AEROSPACE — REGULATION D (RULE 504) EQUITY OFFERING</w:t>
      </w:r>
    </w:p>
    <w:p>
      <w:pPr>
        <w:spacing w:after="40"/>
      </w:pPr>
      <w:r>
        <w:rPr>
          <w:b/>
          <w:sz w:val="22"/>
        </w:rPr>
        <w:t>$500,000 Needed · Common Stock · Target Close 30 Days</w:t>
      </w:r>
    </w:p>
    <w:p>
      <w:pPr>
        <w:spacing w:after="40"/>
      </w:pPr>
      <w:r>
        <w:rPr>
          <w:sz w:val="20"/>
        </w:rPr>
        <w:t>Exos Aerospace Systems &amp; Technologies, Inc.  ·  299 FM 1903, Greenville, TX 75402  ·  www.exosaero.com</w:t>
      </w:r>
    </w:p>
    <w:p>
      <w:pPr>
        <w:spacing w:after="200"/>
      </w:pPr>
      <w:r>
        <w:rPr>
          <w:i/>
          <w:sz w:val="18"/>
        </w:rPr>
        <w:t>CONFIDENTIAL — for existing and qualified investors only</w:t>
      </w:r>
    </w:p>
    <w:p>
      <w:pPr>
        <w:spacing w:after="80"/>
      </w:pPr>
      <w:r>
        <w:rPr>
          <w:b/>
          <w:sz w:val="24"/>
        </w:rPr>
        <w:t>The Offering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Instrument:</w:t>
      </w:r>
      <w:r>
        <w:rPr>
          <w:sz w:val="22"/>
        </w:rPr>
        <w:t xml:space="preserve"> Common stock, issued under our ongoing Regulation D (Rule 504) offering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Capital needed:</w:t>
      </w:r>
      <w:r>
        <w:rPr>
          <w:sz w:val="22"/>
        </w:rPr>
        <w:t xml:space="preserve"> $500,000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Price:</w:t>
      </w:r>
      <w:r>
        <w:rPr>
          <w:sz w:val="22"/>
        </w:rPr>
        <w:t xml:space="preserve"> current offering price [$____ per share]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Target close:</w:t>
      </w:r>
      <w:r>
        <w:rPr>
          <w:sz w:val="22"/>
        </w:rPr>
        <w:t xml:space="preserve"> within 30 days</w:t>
      </w:r>
    </w:p>
    <w:p>
      <w:pPr>
        <w:spacing w:after="20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Eligibility:</w:t>
      </w:r>
      <w:r>
        <w:rPr>
          <w:sz w:val="22"/>
        </w:rPr>
        <w:t xml:space="preserve"> existing and qualified investors</w:t>
      </w:r>
    </w:p>
    <w:p>
      <w:pPr>
        <w:spacing w:after="80"/>
      </w:pPr>
      <w:r>
        <w:rPr>
          <w:b/>
          <w:sz w:val="24"/>
        </w:rPr>
        <w:t>Use of Proceeds — straight to a value inflection</w:t>
      </w:r>
    </w:p>
    <w:p>
      <w:pPr>
        <w:spacing w:after="200"/>
      </w:pPr>
      <w:r>
        <w:rPr>
          <w:sz w:val="22"/>
        </w:rPr>
        <w:t xml:space="preserve">This $500,000 is the capital required to </w:t>
      </w:r>
      <w:r>
        <w:rPr>
          <w:b/>
          <w:sz w:val="22"/>
        </w:rPr>
        <w:t>complete the BLK3 build and Critical Design Reviews — with outside engineering support and independent evaluation — and stand the vehicle up for Launch 0</w:t>
      </w:r>
      <w:r>
        <w:rPr>
          <w:sz w:val="22"/>
        </w:rPr>
        <w:t xml:space="preserve">, while we fill the payload manifest over the coming months. It carries us to our first contracted commercial flight (entX / Project Lazarus, launch services agreement executed, </w:t>
      </w:r>
      <w:r>
        <w:rPr>
          <w:b/>
          <w:sz w:val="22"/>
        </w:rPr>
        <w:t>$840K customer-funded</w:t>
      </w:r>
      <w:r>
        <w:rPr>
          <w:sz w:val="22"/>
        </w:rPr>
        <w:t xml:space="preserve">) and the second flight. </w:t>
      </w:r>
      <w:r>
        <w:rPr>
          <w:b/>
          <w:sz w:val="22"/>
        </w:rPr>
        <w:t>Two successful flights above 85 km open the NASA Flight Opportunities on-ramp — a recurring ~$1M-per-flight revenue line</w:t>
      </w:r>
      <w:r>
        <w:rPr>
          <w:sz w:val="22"/>
        </w:rPr>
        <w:t xml:space="preserve"> — and set up a targeted </w:t>
      </w:r>
      <w:r>
        <w:rPr>
          <w:b/>
          <w:sz w:val="22"/>
        </w:rPr>
        <w:t>3-day reflight that would establish a new industry reusability record.</w:t>
      </w:r>
      <w:r>
        <w:rPr>
          <w:sz w:val="22"/>
        </w:rPr>
        <w:t xml:space="preserve"> This is the near-term catalyst ahead of the Series A.</w:t>
      </w:r>
    </w:p>
    <w:p>
      <w:pPr>
        <w:spacing w:after="80"/>
      </w:pPr>
      <w:r>
        <w:rPr>
          <w:b/>
          <w:sz w:val="24"/>
        </w:rPr>
        <w:t>A Timing Point</w:t>
      </w:r>
    </w:p>
    <w:p>
      <w:pPr>
        <w:spacing w:after="200"/>
      </w:pPr>
      <w:r>
        <w:rPr>
          <w:sz w:val="22"/>
        </w:rPr>
        <w:t xml:space="preserve">Our </w:t>
      </w:r>
      <w:r>
        <w:rPr>
          <w:b/>
          <w:sz w:val="22"/>
        </w:rPr>
        <w:t>2026 independent 409A valuation is being finalized now and is tracking to an increase</w:t>
      </w:r>
      <w:r>
        <w:rPr>
          <w:sz w:val="22"/>
        </w:rPr>
        <w:t xml:space="preserve"> over the prior mark. Participating at the </w:t>
      </w:r>
      <w:r>
        <w:rPr>
          <w:b/>
          <w:sz w:val="22"/>
        </w:rPr>
        <w:t>current offering price, before that valuation updates,</w:t>
      </w:r>
      <w:r>
        <w:rPr>
          <w:sz w:val="22"/>
        </w:rPr>
        <w:t xml:space="preserve"> is the better entry — a good moment to step in.</w:t>
      </w:r>
    </w:p>
    <w:p>
      <w:pPr>
        <w:spacing w:after="80"/>
      </w:pPr>
      <w:r>
        <w:rPr>
          <w:b/>
          <w:sz w:val="24"/>
        </w:rPr>
        <w:t>Why Exos, Why Now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One of only 3 U.S.-licensed reusable suborbital providers</w:t>
      </w:r>
      <w:r>
        <w:rPr>
          <w:sz w:val="22"/>
        </w:rPr>
        <w:t xml:space="preserve"> — FAA reusable launch license secured (March 2026) on the BLK3 PSRLV.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First commercial flight booked</w:t>
      </w:r>
      <w:r>
        <w:rPr>
          <w:sz w:val="22"/>
        </w:rPr>
        <w:t xml:space="preserve"> ($840K customer-funded); a </w:t>
      </w:r>
      <w:r>
        <w:rPr>
          <w:b/>
          <w:sz w:val="22"/>
        </w:rPr>
        <w:t>second BLK3 flight in active sales</w:t>
      </w:r>
      <w:r>
        <w:rPr>
          <w:sz w:val="22"/>
        </w:rPr>
        <w:t>, with one of the only active reusable suborbital manifests in the market while Blue Origin's New Shepard remains paused.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NASA Flight Opportunities on-ramp</w:t>
      </w:r>
      <w:r>
        <w:rPr>
          <w:sz w:val="22"/>
        </w:rPr>
        <w:t xml:space="preserve"> opens recurring per-flight revenue once two &gt;85 km flights are flown.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Active USAF SBIR Phase II</w:t>
      </w:r>
      <w:r>
        <w:rPr>
          <w:sz w:val="22"/>
        </w:rPr>
        <w:t xml:space="preserve"> — Exos is contracted to build an </w:t>
      </w:r>
      <w:r>
        <w:rPr>
          <w:b/>
          <w:sz w:val="22"/>
        </w:rPr>
        <w:t>HVRR flight vehicle to flight-test a government-furnished (GFE) RDRE</w:t>
      </w:r>
      <w:r>
        <w:rPr>
          <w:sz w:val="22"/>
        </w:rPr>
        <w:t>, establishing a sole-source Phase III pathway.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Pursuing $4M in non-dilutive funding</w:t>
      </w:r>
      <w:r>
        <w:rPr>
          <w:sz w:val="22"/>
        </w:rPr>
        <w:t xml:space="preserve"> — a </w:t>
      </w:r>
      <w:r>
        <w:rPr>
          <w:b/>
          <w:sz w:val="22"/>
        </w:rPr>
        <w:t>$2M USAF TACFI request</w:t>
      </w:r>
      <w:r>
        <w:rPr>
          <w:sz w:val="22"/>
        </w:rPr>
        <w:t xml:space="preserve"> plus a </w:t>
      </w:r>
      <w:r>
        <w:rPr>
          <w:b/>
          <w:sz w:val="22"/>
        </w:rPr>
        <w:t>$2M Texas Space Commission SEARF direct-award request</w:t>
      </w:r>
      <w:r>
        <w:rPr>
          <w:sz w:val="22"/>
        </w:rPr>
        <w:t xml:space="preserve"> (SEARF Direct Award, Chapter 482, Texas Government Code) — to match and extend this raise.</w:t>
      </w:r>
    </w:p>
    <w:p>
      <w:pPr>
        <w:spacing w:after="60"/>
        <w:ind w:left="360"/>
      </w:pPr>
      <w:r>
        <w:rPr>
          <w:sz w:val="22"/>
        </w:rPr>
        <w:t>•  SSLC tank partnership — Exos holds an 18% equity stake in Scorpius Space Launch Company (SSLC), whose Type-V cryogenic tanks flew on Intuitive Machines' IM-1 Odysseus and IM-2 Athena lunar landers. Exos integrates SSLC tanks and is SSLC's sales channel: Exos earns a 15% commission on SSLC tank hardware it sells (customers pay SSLC's own price, no markup), and the same 15% applies to SSLC tanks Exos buys — effectively a rebate on the tanks we integrate.</w:t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</w:p>
    <w:p>
      <w:pPr>
        <w:spacing w:after="20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A </w:t>
      </w:r>
      <w:r>
        <w:rPr>
          <w:b/>
          <w:sz w:val="22"/>
        </w:rPr>
        <w:t>Series A (up to $25M)</w:t>
      </w:r>
      <w:r>
        <w:rPr>
          <w:sz w:val="22"/>
        </w:rPr>
        <w:t xml:space="preserve"> follows; participants come in ahead of it.</w:t>
      </w:r>
    </w:p>
    <w:p>
      <w:pPr>
        <w:spacing w:after="80"/>
      </w:pPr>
      <w:r>
        <w:rPr>
          <w:b/>
          <w:sz w:val="24"/>
        </w:rPr>
        <w:t>Contact</w:t>
      </w:r>
    </w:p>
    <w:p>
      <w:pPr>
        <w:spacing w:after="40"/>
      </w:pPr>
      <w:r>
        <w:rPr>
          <w:b/>
          <w:sz w:val="22"/>
        </w:rPr>
        <w:t>David Mitchell</w:t>
      </w:r>
      <w:r>
        <w:rPr>
          <w:sz w:val="22"/>
        </w:rPr>
        <w:t>, President — [email] · [phone]</w:t>
      </w:r>
    </w:p>
    <w:p>
      <w:pPr>
        <w:spacing w:after="200"/>
      </w:pPr>
      <w:r>
        <w:rPr>
          <w:sz w:val="22"/>
        </w:rPr>
        <w:t>Exos Aerospace Systems &amp; Technologies, Inc. · 299 FM 1903, Greenville, TX 75402</w:t>
      </w:r>
    </w:p>
    <w:p>
      <w:pPr>
        <w:spacing w:after="80"/>
      </w:pPr>
      <w:r>
        <w:rPr>
          <w:i/>
          <w:sz w:val="18"/>
        </w:rPr>
        <w:t>Confidential. Offered only to existing and qualified investors pursuant to Regulation D, Rule 504. This is not an offer to sell or a solicitation of an offer to buy any security in any jurisdiction where unlawful; any investment will be made solely pursuant to definitive offering documents. Shares are restricted securities with no public market. Forward-looking statements reflect current management projections and assumptions and are not guarantees; past performance does not guarantee future results.</w:t>
      </w:r>
    </w:p>
    <w:sectPr w:rsidR="00D02269" w:rsidRPr="007C623E" w:rsidSect="006E0F85">
      <w:headerReference w:type="default" r:id="rId12"/>
      <w:footerReference w:type="default" r:id="rId14"/>
      <w:pgSz w:w="12240" w:h="15840"/>
      <w:pgMar w:top="1584" w:right="576" w:bottom="151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