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CA64" w14:textId="77777777" w:rsidR="0033644C" w:rsidRPr="0033644C" w:rsidRDefault="0033644C" w:rsidP="0033644C">
      <w:pPr>
        <w:rPr>
          <w:b/>
          <w:bCs/>
        </w:rPr>
      </w:pPr>
      <w:r w:rsidRPr="0033644C">
        <w:rPr>
          <w:b/>
          <w:bCs/>
        </w:rPr>
        <w:t>Executive Summary: Exos Aerospace Integrated Test Plan</w:t>
      </w:r>
    </w:p>
    <w:p w14:paraId="057F3C84" w14:textId="77777777" w:rsidR="0033644C" w:rsidRPr="0033644C" w:rsidRDefault="0033644C" w:rsidP="0033644C">
      <w:pPr>
        <w:rPr>
          <w:b/>
          <w:bCs/>
        </w:rPr>
      </w:pPr>
      <w:r w:rsidRPr="0033644C">
        <w:rPr>
          <w:b/>
          <w:bCs/>
        </w:rPr>
        <w:t>SSLC Type-V Tank Supply &amp; Sales-Commission Partnership and NASA RDRE Integration</w:t>
      </w:r>
    </w:p>
    <w:p w14:paraId="7D4153CA" w14:textId="77777777" w:rsidR="0033644C" w:rsidRPr="0033644C" w:rsidRDefault="0033644C" w:rsidP="0033644C">
      <w:pPr>
        <w:rPr>
          <w:b/>
          <w:bCs/>
        </w:rPr>
      </w:pPr>
      <w:r w:rsidRPr="0033644C">
        <w:rPr>
          <w:b/>
          <w:bCs/>
        </w:rPr>
        <w:pict w14:anchorId="04FB1862">
          <v:rect id="_x0000_i1067" style="width:0;height:1.5pt" o:hralign="center" o:hrstd="t" o:hr="t" fillcolor="#a0a0a0" stroked="f"/>
        </w:pict>
      </w:r>
    </w:p>
    <w:p w14:paraId="4E38634B" w14:textId="77777777" w:rsidR="0033644C" w:rsidRPr="0033644C" w:rsidRDefault="0033644C" w:rsidP="0033644C">
      <w:pPr>
        <w:rPr>
          <w:b/>
          <w:bCs/>
        </w:rPr>
      </w:pPr>
      <w:r w:rsidRPr="0033644C">
        <w:rPr>
          <w:b/>
          <w:bCs/>
        </w:rPr>
        <w:t>Overview</w:t>
      </w:r>
    </w:p>
    <w:p w14:paraId="64461846" w14:textId="77777777" w:rsidR="0033644C" w:rsidRPr="0033644C" w:rsidRDefault="0033644C" w:rsidP="0033644C">
      <w:pPr>
        <w:rPr>
          <w:b/>
          <w:bCs/>
        </w:rPr>
      </w:pPr>
      <w:r w:rsidRPr="0033644C">
        <w:rPr>
          <w:b/>
          <w:bCs/>
        </w:rPr>
        <w:t>Exos Aerospace is establishing a unified roadmap toward test-only orbital transfer vehicle (OTV) capability. The platform combines Exos's reusable suborbital rocket fleet and Integrated Pressurized Structures (IPS) — built on Type-V composite cryogenic tanks that Exos buys from its supply partner Scorpius Space Launch Company (SSLC) — with a ~5,800 lbf-class Rotating Detonation Rocket Engine (RDRE), down-selected via a NASA MSFC license vs. GTL machined-method trade study. Scorpius Space Launch Company (SSLC) is Exos's Type-V cryogenic tank supply partner and sales channel partner. Exos buys Type-V tanks from SSLC and integrates them into its Integrated Pressurized Structures and vehicles. Exos is also a sales channel for SSLC tank hardware — especially internationally and through the Exos Consortium — and earns a 15% sales commission on SSLC tank hardware it sells. Customers are quoted the same price SSLC quotes directly (no Exos markup). The commission also applies to SSLC sales to Exos, which effectively makes it a 15% rebate on the tanks Exos buys. Exos holds an 18% passive equity stake in SSLC. The commission terms were agreed with SSLC in principle and are being documented in a Sales Commission Agreement now in drafting.</w:t>
      </w:r>
      <w:proofErr w:type="spellStart"/>
      <w:r w:rsidRPr="0033644C">
        <w:rPr>
          <w:b/>
          <w:bCs/>
        </w:rPr>
      </w:r>
      <w:proofErr w:type="spellEnd"/>
      <w:r w:rsidRPr="0033644C">
        <w:rPr>
          <w:b/>
          <w:bCs/>
        </w:rPr>
      </w:r>
      <w:proofErr w:type="spellStart"/>
      <w:r w:rsidRPr="0033644C">
        <w:rPr>
          <w:b/>
          <w:bCs/>
        </w:rPr>
      </w:r>
      <w:proofErr w:type="spellEnd"/>
      <w:r w:rsidRPr="0033644C">
        <w:rPr>
          <w:b/>
          <w:bCs/>
        </w:rPr>
      </w:r>
    </w:p>
    <w:p w14:paraId="701E2213" w14:textId="77777777" w:rsidR="0033644C" w:rsidRPr="0033644C" w:rsidRDefault="0033644C" w:rsidP="0033644C">
      <w:pPr>
        <w:rPr>
          <w:b/>
          <w:bCs/>
        </w:rPr>
      </w:pPr>
      <w:r w:rsidRPr="0033644C">
        <w:rPr>
          <w:b/>
          <w:bCs/>
        </w:rPr>
        <w:t xml:space="preserve">The program introduces the BLK4 RDRE Test-Only OTV, deployed via rideshare missions on SpaceX Falcon 9 (Transporter), Rocket Lab Electron, or Firefly Alpha. </w:t>
      </w:r>
      <w:proofErr w:type="spellStart"/>
      <w:r w:rsidRPr="0033644C">
        <w:rPr>
          <w:b/>
          <w:bCs/>
        </w:rPr>
        <w:t>Exos’s</w:t>
      </w:r>
      <w:proofErr w:type="spellEnd"/>
      <w:r w:rsidRPr="0033644C">
        <w:rPr>
          <w:b/>
          <w:bCs/>
        </w:rPr>
        <w:t xml:space="preserve"> suborbital rockets will serve as testbeds for RDRE-powered orbital components—reducing risk, validating subsystems in flight, and bridging to orbital operations without requiring new launch vehicle development.</w:t>
      </w:r>
    </w:p>
    <w:p w14:paraId="4F0E1B47" w14:textId="77777777" w:rsidR="0033644C" w:rsidRPr="0033644C" w:rsidRDefault="0033644C" w:rsidP="0033644C">
      <w:pPr>
        <w:rPr>
          <w:b/>
          <w:bCs/>
        </w:rPr>
      </w:pPr>
      <w:r w:rsidRPr="0033644C">
        <w:rPr>
          <w:b/>
          <w:bCs/>
        </w:rPr>
        <w:pict w14:anchorId="2FE3293D">
          <v:rect id="_x0000_i1068" style="width:0;height:1.5pt" o:hralign="center" o:hrstd="t" o:hr="t" fillcolor="#a0a0a0" stroked="f"/>
        </w:pict>
      </w:r>
    </w:p>
    <w:p w14:paraId="6B394DAE" w14:textId="77777777" w:rsidR="0033644C" w:rsidRPr="0033644C" w:rsidRDefault="0033644C" w:rsidP="0033644C">
      <w:pPr>
        <w:rPr>
          <w:b/>
          <w:bCs/>
        </w:rPr>
      </w:pPr>
      <w:r w:rsidRPr="0033644C">
        <w:rPr>
          <w:b/>
          <w:bCs/>
        </w:rPr>
        <w:t>Strategic Objectives</w:t>
      </w:r>
    </w:p>
    <w:p w14:paraId="1065F2B7" w14:textId="77777777" w:rsidR="0033644C" w:rsidRPr="0033644C" w:rsidRDefault="0033644C" w:rsidP="0033644C">
      <w:pPr>
        <w:numPr>
          <w:ilvl w:val="0"/>
          <w:numId w:val="21"/>
        </w:numPr>
        <w:rPr>
          <w:b/>
          <w:bCs/>
        </w:rPr>
      </w:pPr>
      <w:r w:rsidRPr="0033644C">
        <w:rPr>
          <w:b/>
          <w:bCs/>
        </w:rPr>
        <w:t>Accelerate RDRE Flight Validation: Mature the down-selected methane/oxygen RDRE (NASA MSFC license or GTL machined method) to TRL 8 by 2029 through suborbital and orbital demonstration flights.</w:t>
      </w:r>
    </w:p>
    <w:p w14:paraId="321D1C8A" w14:textId="77777777" w:rsidR="0033644C" w:rsidRPr="0033644C" w:rsidRDefault="0033644C" w:rsidP="0033644C">
      <w:pPr>
        <w:numPr>
          <w:ilvl w:val="0"/>
          <w:numId w:val="21"/>
        </w:numPr>
        <w:rPr>
          <w:b/>
          <w:bCs/>
        </w:rPr>
      </w:pPr>
      <w:r w:rsidRPr="0033644C">
        <w:rPr>
          <w:b/>
          <w:bCs/>
        </w:rPr>
        <w:t xml:space="preserve">Leverage Exos Suborbital Fleet: Use </w:t>
      </w:r>
      <w:proofErr w:type="spellStart"/>
      <w:r w:rsidRPr="0033644C">
        <w:rPr>
          <w:b/>
          <w:bCs/>
        </w:rPr>
        <w:t>Exos’s</w:t>
      </w:r>
      <w:proofErr w:type="spellEnd"/>
      <w:r w:rsidRPr="0033644C">
        <w:rPr>
          <w:b/>
          <w:bCs/>
        </w:rPr>
        <w:t xml:space="preserve"> reusable rockets to flight-test orbital-class propulsion modules, avionics, and recovery systems prior to barge or rideshare deployment.</w:t>
      </w:r>
    </w:p>
    <w:p w14:paraId="21DCAD9B" w14:textId="77777777" w:rsidR="0033644C" w:rsidRPr="0033644C" w:rsidRDefault="0033644C" w:rsidP="0033644C">
      <w:pPr>
        <w:numPr>
          <w:ilvl w:val="0"/>
          <w:numId w:val="21"/>
        </w:numPr>
        <w:rPr>
          <w:b/>
          <w:bCs/>
        </w:rPr>
      </w:pPr>
      <w:r w:rsidRPr="0033644C">
        <w:rPr>
          <w:b/>
          <w:bCs/>
        </w:rPr>
        <w:t>Integrate SSLC Type-V Tanks: Integrate SSLC-supplied Type-V tanks into Exos Integrated Pressurized Structures for 20–30% mass reduction and reusable OTV architectures, and sell SSLC tank hardware as SSLC's channel (especially international and Consortium customers).</w:t>
      </w:r>
    </w:p>
    <w:p w14:paraId="29FCD420" w14:textId="77777777" w:rsidR="0033644C" w:rsidRPr="0033644C" w:rsidRDefault="0033644C" w:rsidP="0033644C">
      <w:pPr>
        <w:numPr>
          <w:ilvl w:val="0"/>
          <w:numId w:val="21"/>
        </w:numPr>
        <w:rPr>
          <w:b/>
          <w:bCs/>
        </w:rPr>
      </w:pPr>
      <w:r w:rsidRPr="0033644C">
        <w:rPr>
          <w:b/>
          <w:bCs/>
        </w:rPr>
        <w:t xml:space="preserve">Utilize Texas-Based Infrastructure: Combine Midland, TX ground testing, Gulf of Mexico barge launches, and </w:t>
      </w:r>
      <w:proofErr w:type="spellStart"/>
      <w:r w:rsidRPr="0033644C">
        <w:rPr>
          <w:b/>
          <w:bCs/>
        </w:rPr>
        <w:t>Exos’s</w:t>
      </w:r>
      <w:proofErr w:type="spellEnd"/>
      <w:r w:rsidRPr="0033644C">
        <w:rPr>
          <w:b/>
          <w:bCs/>
        </w:rPr>
        <w:t xml:space="preserve"> existing suborbital flight capabilities for a comprehensive, iterative development loop.</w:t>
      </w:r>
    </w:p>
    <w:p w14:paraId="636287AB" w14:textId="77777777" w:rsidR="0033644C" w:rsidRPr="0033644C" w:rsidRDefault="0033644C" w:rsidP="0033644C">
      <w:pPr>
        <w:rPr>
          <w:b/>
          <w:bCs/>
        </w:rPr>
      </w:pPr>
      <w:r w:rsidRPr="0033644C">
        <w:rPr>
          <w:b/>
          <w:bCs/>
        </w:rPr>
        <w:lastRenderedPageBreak/>
        <w:pict w14:anchorId="38B1E77F">
          <v:rect id="_x0000_i1069" style="width:0;height:1.5pt" o:hralign="center" o:hrstd="t" o:hr="t" fillcolor="#a0a0a0" stroked="f"/>
        </w:pict>
      </w:r>
    </w:p>
    <w:p/>
    <w:p w14:paraId="55FBA63A" w14:textId="77777777" w:rsidR="0033644C" w:rsidRPr="0033644C" w:rsidRDefault="0033644C" w:rsidP="0033644C">
      <w:pPr>
        <w:rPr>
          <w:b/>
          <w:bCs/>
        </w:rPr>
      </w:pPr>
      <w:r w:rsidRPr="0033644C">
        <w:rPr>
          <w:b/>
          <w:bCs/>
        </w:rPr>
        <w:t>Phased Implementation Plan</w:t>
      </w:r>
    </w:p>
    <w:p>
      <w:r>
        <w:rPr>
          <w:b/>
        </w:rPr>
        <w:t>Funding close: Q4 2026 — enables Phase 1 start in January 2027.</w:t>
      </w:r>
    </w:p>
    <w:p w14:paraId="3224E99F" w14:textId="77777777" w:rsidR="0033644C" w:rsidRPr="0033644C" w:rsidRDefault="0033644C" w:rsidP="0033644C">
      <w:pPr>
        <w:rPr>
          <w:b/>
          <w:bCs/>
        </w:rPr>
      </w:pPr>
      <w:r w:rsidRPr="0033644C">
        <w:rPr>
          <w:b/>
          <w:bCs/>
        </w:rPr>
        <w:t>Phase 1 (Q1 2027 – Q2 2027): Licensing &amp; Early Integration</w:t>
      </w:r>
    </w:p>
    <w:p w14:paraId="4D23377A" w14:textId="77777777" w:rsidR="0033644C" w:rsidRPr="0033644C" w:rsidRDefault="0033644C" w:rsidP="0033644C">
      <w:pPr>
        <w:numPr>
          <w:ilvl w:val="0"/>
          <w:numId w:val="22"/>
        </w:numPr>
        <w:rPr>
          <w:b/>
          <w:bCs/>
        </w:rPr>
      </w:pPr>
      <w:r w:rsidRPr="0033644C">
        <w:rPr>
          <w:b/>
          <w:bCs/>
        </w:rPr>
        <w:t>Run the RDRE trade study and down-select — NASA MSFC license (TechPort ID: 116281) vs. GTL machined RDRE method (Exos does not own the GTL technology; both are candidate paths); adapt combustion and injector designs for Exos integration.</w:t>
      </w:r>
      <w:proofErr w:type="spellStart"/>
      <w:r w:rsidRPr="0033644C">
        <w:rPr>
          <w:b/>
          <w:bCs/>
        </w:rPr>
      </w:r>
      <w:proofErr w:type="spellEnd"/>
      <w:r w:rsidRPr="0033644C">
        <w:rPr>
          <w:b/>
          <w:bCs/>
        </w:rPr>
      </w:r>
    </w:p>
    <w:p w14:paraId="5B141E6F" w14:textId="77777777" w:rsidR="0033644C" w:rsidRPr="0033644C" w:rsidRDefault="0033644C" w:rsidP="0033644C">
      <w:pPr>
        <w:numPr>
          <w:ilvl w:val="0"/>
          <w:numId w:val="22"/>
        </w:numPr>
        <w:rPr>
          <w:b/>
          <w:bCs/>
        </w:rPr>
      </w:pPr>
      <w:r w:rsidRPr="0033644C">
        <w:rPr>
          <w:b/>
          <w:bCs/>
        </w:rPr>
        <w:t>Integrate RDRE with SSLC-supplied Type-V pressurized tankage for the RDREW BLK3 test stage.</w:t>
      </w:r>
    </w:p>
    <w:p w14:paraId="2DE05D5F" w14:textId="77777777" w:rsidR="0033644C" w:rsidRPr="0033644C" w:rsidRDefault="0033644C" w:rsidP="0033644C">
      <w:pPr>
        <w:numPr>
          <w:ilvl w:val="0"/>
          <w:numId w:val="22"/>
        </w:numPr>
        <w:rPr>
          <w:b/>
          <w:bCs/>
        </w:rPr>
      </w:pPr>
      <w:r w:rsidRPr="0033644C">
        <w:rPr>
          <w:b/>
          <w:bCs/>
        </w:rPr>
        <w:t>Conduct early hot-fires and composite validation at Midland, TX facilities.</w:t>
      </w:r>
    </w:p>
    <w:p w14:paraId="136ABF36" w14:textId="77777777" w:rsidR="0033644C" w:rsidRPr="0033644C" w:rsidRDefault="0033644C" w:rsidP="0033644C">
      <w:pPr>
        <w:numPr>
          <w:ilvl w:val="0"/>
          <w:numId w:val="22"/>
        </w:numPr>
        <w:rPr>
          <w:b/>
          <w:bCs/>
        </w:rPr>
      </w:pPr>
      <w:r w:rsidRPr="0033644C">
        <w:rPr>
          <w:b/>
          <w:bCs/>
        </w:rPr>
        <w:t>Prepare Exos suborbital vehicle interfaces for in-flight RDRE component testing.</w:t>
      </w:r>
    </w:p>
    <w:p w14:paraId="013628DA" w14:textId="77777777" w:rsidR="0033644C" w:rsidRPr="0033644C" w:rsidRDefault="0033644C" w:rsidP="0033644C">
      <w:pPr>
        <w:numPr>
          <w:ilvl w:val="0"/>
          <w:numId w:val="22"/>
        </w:numPr>
        <w:rPr>
          <w:b/>
          <w:bCs/>
        </w:rPr>
      </w:pPr>
      <w:r w:rsidRPr="0033644C">
        <w:rPr>
          <w:b/>
          <w:bCs/>
          <w:i/>
          <w:iCs/>
        </w:rPr>
        <w:t>Milestones: License executed, PDR complete, first hot-fire by Q2 2027.</w:t>
      </w:r>
      <w:r w:rsidRPr="0033644C">
        <w:rPr>
          <w:b/>
          <w:bCs/>
        </w:rPr>
      </w:r>
      <w:proofErr w:type="gramStart"/>
      <w:r w:rsidRPr="0033644C">
        <w:rPr>
          <w:b/>
          <w:bCs/>
        </w:rPr>
      </w:r>
      <w:proofErr w:type="gramEnd"/>
      <w:r w:rsidRPr="0033644C">
        <w:rPr>
          <w:b/>
          <w:bCs/>
        </w:rPr>
      </w:r>
    </w:p>
    <w:p w14:paraId="15C9E972" w14:textId="77777777" w:rsidR="0033644C" w:rsidRPr="0033644C" w:rsidRDefault="0033644C" w:rsidP="0033644C">
      <w:pPr>
        <w:rPr>
          <w:b/>
          <w:bCs/>
        </w:rPr>
      </w:pPr>
      <w:r w:rsidRPr="0033644C">
        <w:rPr>
          <w:b/>
          <w:bCs/>
        </w:rPr>
        <w:t>Phase 2 (Q3 2027 – Q1 2028): Suborbital RDREW BLK3 Demonstrations</w:t>
      </w:r>
    </w:p>
    <w:p w14:paraId="7E0D815E" w14:textId="77777777" w:rsidR="0033644C" w:rsidRPr="0033644C" w:rsidRDefault="0033644C" w:rsidP="0033644C">
      <w:pPr>
        <w:numPr>
          <w:ilvl w:val="0"/>
          <w:numId w:val="23"/>
        </w:numPr>
        <w:rPr>
          <w:b/>
          <w:bCs/>
        </w:rPr>
      </w:pPr>
      <w:r w:rsidRPr="0033644C">
        <w:rPr>
          <w:b/>
          <w:bCs/>
        </w:rPr>
        <w:t>Conduct 5–7 suborbital flights from The Spaceport Company (TSC) Gulf barge to validate RDRE ignition, throttling, restart, and structural dynamics.</w:t>
      </w:r>
    </w:p>
    <w:p w14:paraId="6728FF60" w14:textId="77777777" w:rsidR="0033644C" w:rsidRPr="0033644C" w:rsidRDefault="0033644C" w:rsidP="0033644C">
      <w:pPr>
        <w:numPr>
          <w:ilvl w:val="0"/>
          <w:numId w:val="23"/>
        </w:numPr>
        <w:rPr>
          <w:b/>
          <w:bCs/>
        </w:rPr>
      </w:pPr>
      <w:r w:rsidRPr="0033644C">
        <w:rPr>
          <w:b/>
          <w:bCs/>
        </w:rPr>
        <w:t>Integrate RDRE propulsion modules and OTV avionics onto Exos suborbital rockets for partial-duration flight testing and recovery.</w:t>
      </w:r>
    </w:p>
    <w:p w14:paraId="2AD9F0A6" w14:textId="77777777" w:rsidR="0033644C" w:rsidRPr="0033644C" w:rsidRDefault="0033644C" w:rsidP="0033644C">
      <w:pPr>
        <w:numPr>
          <w:ilvl w:val="0"/>
          <w:numId w:val="23"/>
        </w:numPr>
        <w:rPr>
          <w:b/>
          <w:bCs/>
        </w:rPr>
      </w:pPr>
      <w:r w:rsidRPr="0033644C">
        <w:rPr>
          <w:b/>
          <w:bCs/>
        </w:rPr>
        <w:t>Perform ground-based pre/post-flight analysis in Midland for composite evaluation.</w:t>
      </w:r>
    </w:p>
    <w:p w14:paraId="05F1E3EE" w14:textId="77777777" w:rsidR="0033644C" w:rsidRPr="0033644C" w:rsidRDefault="0033644C" w:rsidP="0033644C">
      <w:pPr>
        <w:numPr>
          <w:ilvl w:val="0"/>
          <w:numId w:val="23"/>
        </w:numPr>
        <w:rPr>
          <w:b/>
          <w:bCs/>
        </w:rPr>
      </w:pPr>
      <w:r w:rsidRPr="0033644C">
        <w:rPr>
          <w:b/>
          <w:bCs/>
          <w:i/>
          <w:iCs/>
        </w:rPr>
        <w:t>Milestones:</w:t>
      </w:r>
      <w:r w:rsidRPr="0033644C">
        <w:rPr>
          <w:b/>
          <w:bCs/>
        </w:rPr>
        <w:t xml:space="preserve"> 500+ seconds cumulative in-flight RDRE operation; TRL 7 achieved by end of 2027.</w:t>
      </w:r>
    </w:p>
    <w:p w14:paraId="2BC1C9D9" w14:textId="77777777" w:rsidR="0033644C" w:rsidRPr="0033644C" w:rsidRDefault="0033644C" w:rsidP="0033644C">
      <w:pPr>
        <w:rPr>
          <w:b/>
          <w:bCs/>
        </w:rPr>
      </w:pPr>
      <w:r w:rsidRPr="0033644C">
        <w:rPr>
          <w:b/>
          <w:bCs/>
        </w:rPr>
        <w:t>Phase 3 (2028): BLK4 OTV Development and Rideshare Qualification (funded-future — proceeds only with program funding)</w:t>
      </w:r>
    </w:p>
    <w:p w14:paraId="44696000" w14:textId="77777777" w:rsidR="0033644C" w:rsidRPr="0033644C" w:rsidRDefault="0033644C" w:rsidP="0033644C">
      <w:pPr>
        <w:numPr>
          <w:ilvl w:val="0"/>
          <w:numId w:val="24"/>
        </w:numPr>
        <w:rPr>
          <w:b/>
          <w:bCs/>
        </w:rPr>
      </w:pPr>
      <w:r w:rsidRPr="0033644C">
        <w:rPr>
          <w:b/>
          <w:bCs/>
        </w:rPr>
        <w:t>Develop BLK4 test-only OTV (100–500 kg) using RDRE propulsion and SSLC-supplied Type-V tanks integrated by Exos.</w:t>
      </w:r>
    </w:p>
    <w:p w14:paraId="1994B57F" w14:textId="77777777" w:rsidR="0033644C" w:rsidRPr="0033644C" w:rsidRDefault="0033644C" w:rsidP="0033644C">
      <w:pPr>
        <w:numPr>
          <w:ilvl w:val="0"/>
          <w:numId w:val="24"/>
        </w:numPr>
        <w:rPr>
          <w:b/>
          <w:bCs/>
        </w:rPr>
      </w:pPr>
      <w:r w:rsidRPr="0033644C">
        <w:rPr>
          <w:b/>
          <w:bCs/>
        </w:rPr>
        <w:t>Continue integration testing via Exos suborbital flights for propellant feed, guidance, and recovery systems prior to orbital rideshare readiness.</w:t>
      </w:r>
    </w:p>
    <w:p w14:paraId="79038646" w14:textId="77777777" w:rsidR="0033644C" w:rsidRPr="0033644C" w:rsidRDefault="0033644C" w:rsidP="0033644C">
      <w:pPr>
        <w:numPr>
          <w:ilvl w:val="0"/>
          <w:numId w:val="24"/>
        </w:numPr>
        <w:rPr>
          <w:b/>
          <w:bCs/>
        </w:rPr>
      </w:pPr>
      <w:r w:rsidRPr="0033644C">
        <w:rPr>
          <w:b/>
          <w:bCs/>
        </w:rPr>
        <w:lastRenderedPageBreak/>
        <w:t>Conduct extended-duration RDRE ground burns and vibration testing at Midland.</w:t>
      </w:r>
    </w:p>
    <w:p w14:paraId="17433407" w14:textId="77777777" w:rsidR="0033644C" w:rsidRPr="0033644C" w:rsidRDefault="0033644C" w:rsidP="0033644C">
      <w:pPr>
        <w:numPr>
          <w:ilvl w:val="0"/>
          <w:numId w:val="24"/>
        </w:numPr>
        <w:rPr>
          <w:b/>
          <w:bCs/>
        </w:rPr>
      </w:pPr>
      <w:r w:rsidRPr="0033644C">
        <w:rPr>
          <w:b/>
          <w:bCs/>
          <w:i/>
          <w:iCs/>
        </w:rPr>
        <w:t>Milestones:</w:t>
      </w:r>
      <w:r w:rsidRPr="0033644C">
        <w:rPr>
          <w:b/>
          <w:bCs/>
        </w:rPr>
        <w:t xml:space="preserve"> BLK4 CDR complete; first full-duration 5,800 </w:t>
      </w:r>
      <w:proofErr w:type="spellStart"/>
      <w:r w:rsidRPr="0033644C">
        <w:rPr>
          <w:b/>
          <w:bCs/>
        </w:rPr>
        <w:t>lbf</w:t>
      </w:r>
      <w:proofErr w:type="spellEnd"/>
      <w:r w:rsidRPr="0033644C">
        <w:rPr>
          <w:b/>
          <w:bCs/>
        </w:rPr>
        <w:t xml:space="preserve"> RDRE test by Q3 2028.</w:t>
      </w:r>
    </w:p>
    <w:p w14:paraId="082FA91E" w14:textId="77777777" w:rsidR="0033644C" w:rsidRPr="0033644C" w:rsidRDefault="0033644C" w:rsidP="0033644C">
      <w:pPr>
        <w:rPr>
          <w:b/>
          <w:bCs/>
        </w:rPr>
      </w:pPr>
      <w:r w:rsidRPr="0033644C">
        <w:rPr>
          <w:b/>
          <w:bCs/>
        </w:rPr>
        <w:t>Phase 4 (2028–2031): Orbital Demonstrations &amp; Market Transition (funded-future)</w:t>
      </w:r>
    </w:p>
    <w:p w14:paraId="27779CB2" w14:textId="77777777" w:rsidR="0033644C" w:rsidRPr="0033644C" w:rsidRDefault="0033644C" w:rsidP="0033644C">
      <w:pPr>
        <w:numPr>
          <w:ilvl w:val="0"/>
          <w:numId w:val="25"/>
        </w:numPr>
        <w:rPr>
          <w:b/>
          <w:bCs/>
        </w:rPr>
      </w:pPr>
      <w:r w:rsidRPr="0033644C">
        <w:rPr>
          <w:b/>
          <w:bCs/>
        </w:rPr>
        <w:t>Execute 3–5 rideshare launches (SpaceX, Rocket Lab, Firefly) to demonstrate RDRE-powered orbital maneuvers—orbit-raising, deorbit, and transfer simulations.</w:t>
      </w:r>
    </w:p>
    <w:p w14:paraId="32C3265E" w14:textId="77777777" w:rsidR="0033644C" w:rsidRPr="0033644C" w:rsidRDefault="0033644C" w:rsidP="0033644C">
      <w:pPr>
        <w:numPr>
          <w:ilvl w:val="0"/>
          <w:numId w:val="25"/>
        </w:numPr>
        <w:rPr>
          <w:b/>
          <w:bCs/>
        </w:rPr>
      </w:pPr>
      <w:r w:rsidRPr="0033644C">
        <w:rPr>
          <w:b/>
          <w:bCs/>
        </w:rPr>
        <w:t>Use Exos suborbital rockets between orbital missions for iterative design updates and subsystem validation.</w:t>
      </w:r>
    </w:p>
    <w:p w14:paraId="03A3A57D" w14:textId="77777777" w:rsidR="0033644C" w:rsidRPr="0033644C" w:rsidRDefault="0033644C" w:rsidP="0033644C">
      <w:pPr>
        <w:numPr>
          <w:ilvl w:val="0"/>
          <w:numId w:val="25"/>
        </w:numPr>
        <w:rPr>
          <w:b/>
          <w:bCs/>
        </w:rPr>
      </w:pPr>
      <w:r w:rsidRPr="0033644C">
        <w:rPr>
          <w:b/>
          <w:bCs/>
        </w:rPr>
        <w:t>Position test results to support commercial OTV services for NASA, DoD, and commercial clients.</w:t>
      </w:r>
    </w:p>
    <w:p w14:paraId="38106EDF" w14:textId="77777777" w:rsidR="0033644C" w:rsidRPr="0033644C" w:rsidRDefault="0033644C" w:rsidP="0033644C">
      <w:pPr>
        <w:numPr>
          <w:ilvl w:val="0"/>
          <w:numId w:val="25"/>
        </w:numPr>
        <w:rPr>
          <w:b/>
          <w:bCs/>
        </w:rPr>
      </w:pPr>
      <w:r w:rsidRPr="0033644C">
        <w:rPr>
          <w:b/>
          <w:bCs/>
          <w:i/>
          <w:iCs/>
        </w:rPr>
        <w:t>Milestones:</w:t>
      </w:r>
      <w:r w:rsidRPr="0033644C">
        <w:rPr>
          <w:b/>
          <w:bCs/>
        </w:rPr>
        <w:t xml:space="preserve"> First orbital test Q1 2029; first OTV service contracts by Q3 2029.</w:t>
      </w:r>
    </w:p>
    <w:p w14:paraId="697A3F45" w14:textId="77777777" w:rsidR="0033644C" w:rsidRPr="0033644C" w:rsidRDefault="0033644C" w:rsidP="0033644C">
      <w:pPr>
        <w:rPr>
          <w:b/>
          <w:bCs/>
        </w:rPr>
      </w:pPr>
      <w:r w:rsidRPr="0033644C">
        <w:rPr>
          <w:b/>
          <w:bCs/>
        </w:rPr>
        <w:pict w14:anchorId="1C0AC0EA">
          <v:rect id="_x0000_i1070" style="width:0;height:1.5pt" o:hralign="center" o:hrstd="t" o:hr="t" fillcolor="#a0a0a0" stroked="f"/>
        </w:pict>
      </w:r>
    </w:p>
    <w:p w14:paraId="11DA273D" w14:textId="77777777" w:rsidR="0033644C" w:rsidRPr="0033644C" w:rsidRDefault="0033644C" w:rsidP="0033644C">
      <w:pPr>
        <w:rPr>
          <w:b/>
          <w:bCs/>
        </w:rPr>
      </w:pPr>
      <w:r w:rsidRPr="0033644C">
        <w:rPr>
          <w:b/>
          <w:bCs/>
        </w:rPr>
        <w:t>Financial Overview</w:t>
      </w:r>
    </w:p>
    <w:p w14:paraId="79201B95" w14:textId="77777777" w:rsidR="0033644C" w:rsidRPr="0033644C" w:rsidRDefault="0033644C" w:rsidP="0033644C">
      <w:pPr>
        <w:rPr>
          <w:b/>
          <w:bCs/>
        </w:rPr>
      </w:pPr>
      <w:r w:rsidRPr="0033644C">
        <w:rPr>
          <w:b/>
          <w:bCs/>
        </w:rPr>
        <w:t>Total Estimated Investment: $65–110 M over 4 years</w:t>
      </w:r>
    </w:p>
    <w:p w14:paraId="5FCF2DD2" w14:textId="77777777" w:rsidR="0033644C" w:rsidRPr="0033644C" w:rsidRDefault="0033644C" w:rsidP="0033644C">
      <w:pPr>
        <w:numPr>
          <w:ilvl w:val="0"/>
          <w:numId w:val="26"/>
        </w:numPr>
        <w:rPr>
          <w:b/>
          <w:bCs/>
        </w:rPr>
      </w:pPr>
      <w:r w:rsidRPr="0033644C">
        <w:rPr>
          <w:b/>
          <w:bCs/>
        </w:rPr>
        <w:t>NASA RDRE licensing: $1–5 M</w:t>
      </w:r>
    </w:p>
    <w:p w14:paraId="2A1DB386" w14:textId="77777777" w:rsidR="0033644C" w:rsidRPr="0033644C" w:rsidRDefault="0033644C" w:rsidP="0033644C">
      <w:pPr>
        <w:numPr>
          <w:ilvl w:val="0"/>
          <w:numId w:val="26"/>
        </w:numPr>
        <w:rPr>
          <w:b/>
          <w:bCs/>
        </w:rPr>
      </w:pPr>
      <w:r w:rsidRPr="0033644C">
        <w:rPr>
          <w:b/>
          <w:bCs/>
        </w:rPr>
        <w:t>Gulf barge campaign: $5–10 M</w:t>
      </w:r>
    </w:p>
    <w:p w14:paraId="507CD42D" w14:textId="77777777" w:rsidR="0033644C" w:rsidRPr="0033644C" w:rsidRDefault="0033644C" w:rsidP="0033644C">
      <w:pPr>
        <w:numPr>
          <w:ilvl w:val="0"/>
          <w:numId w:val="26"/>
        </w:numPr>
        <w:rPr>
          <w:b/>
          <w:bCs/>
        </w:rPr>
      </w:pPr>
      <w:r w:rsidRPr="0033644C">
        <w:rPr>
          <w:b/>
          <w:bCs/>
        </w:rPr>
        <w:t>Rideshare missions: $15–25 M (3–5 deployments)</w:t>
      </w:r>
    </w:p>
    <w:p w14:paraId="5FE49A89" w14:textId="77777777" w:rsidR="0033644C" w:rsidRPr="0033644C" w:rsidRDefault="0033644C" w:rsidP="0033644C">
      <w:pPr>
        <w:numPr>
          <w:ilvl w:val="0"/>
          <w:numId w:val="26"/>
        </w:numPr>
        <w:rPr>
          <w:b/>
          <w:bCs/>
        </w:rPr>
      </w:pPr>
      <w:r w:rsidRPr="0033644C">
        <w:rPr>
          <w:b/>
          <w:bCs/>
        </w:rPr>
        <w:t>Ground and suborbital testing (Midland + Exos ops): $10–15 M</w:t>
      </w:r>
    </w:p>
    <w:p w14:paraId="600971F4" w14:textId="77777777" w:rsidR="0033644C" w:rsidRPr="0033644C" w:rsidRDefault="0033644C" w:rsidP="0033644C">
      <w:pPr>
        <w:numPr>
          <w:ilvl w:val="0"/>
          <w:numId w:val="26"/>
        </w:numPr>
        <w:rPr>
          <w:b/>
          <w:bCs/>
        </w:rPr>
      </w:pPr>
      <w:r w:rsidRPr="0033644C">
        <w:rPr>
          <w:b/>
          <w:bCs/>
        </w:rPr>
        <w:t>Potential offsets via NASA/DoD programs (SBIR, CLPS, Tipping Point)</w:t>
      </w:r>
    </w:p>
    <w:p w14:paraId="600971F4" w14:textId="77777777" w:rsidR="0033644C" w:rsidRPr="0033644C" w:rsidRDefault="0033644C" w:rsidP="0033644C">
      <w:pPr>
        <w:numPr>
          <w:ilvl w:val="0"/>
          <w:numId w:val="26"/>
        </w:numPr>
        <w:rPr>
          <w:b/>
          <w:bCs/>
        </w:rPr>
      </w:pPr>
      <w:r w:rsidRPr="0033644C">
        <w:rPr>
          <w:b/>
          <w:bCs/>
        </w:rPr>
        <w:t>SSLC Sales Commission (15%) — management-prepared base case: commission on Exos-originated third-party SSLC tank sales FY27 $0 · FY28 $37.5K · FY29 $75K · FY30 $113K · FY31 $150K; effective rebate on SSLC tanks Exos buys (credited against cost of sales) FY27 $68.1K · FY28 $90K · FY29 $135K · FY30 $180K · FY31 $225K; total commission economics FY27 $68.1K · FY28 $128K · FY29 $210K · FY30 $293K · FY31 $375K. No SSLC acquisition and no consolidated SSLC revenue are assumed; the 18% SSLC stake is carried passively at cost.</w:t>
      </w:r>
    </w:p>
    <w:p w14:paraId="600971F4" w14:textId="77777777" w:rsidR="0033644C" w:rsidRPr="0033644C" w:rsidRDefault="0033644C" w:rsidP="0033644C">
      <w:pPr>
        <w:numPr>
          <w:ilvl w:val="0"/>
          <w:numId w:val="26"/>
        </w:numPr>
        <w:rPr>
          <w:b/>
          <w:bCs/>
        </w:rPr>
      </w:pPr>
      <w:r w:rsidRPr="0033644C">
        <w:rPr>
          <w:b/>
          <w:bCs/>
        </w:rPr>
        <w:t>Company projections (commission-only model, management-prepared): revenue FY27 $3.9M · FY28 $9.2M · FY29 $24.2M · FY30 $51.6M · FY31 $103.6M; EBITDA FY27 -$561K · FY28 -$1.1M · FY29 $4.7M · FY30 $16.1M · FY31 $55.9M. Fiscal years run July–June (FY27 = Jul 2026–Jun 2027). Management-prepared projections; not audited.</w:t>
      </w:r>
    </w:p>
    <w:p>
      <w:r>
        <w:rPr>
          <w:b/>
        </w:rPr>
        <w:t>Current Financial Position — FY2025 Actuals (per filed IRS Form 1120):</w:t>
      </w:r>
    </w:p>
    <w:p>
      <w:r>
        <w:t>Revenue $1.49M; EBITDA ~$296K (~20% margin) — first profitable year (pre-tax income $189K).</w:t>
      </w:r>
    </w:p>
    <w:p>
      <w:r>
        <w:t>Total assets $16.1M; ~$6.2M net operating loss carryforward (tax shield on future income).</w:t>
      </w:r>
    </w:p>
    <w:p/>
    <w:p w14:paraId="656584F7" w14:textId="77777777" w:rsidR="0033644C" w:rsidRPr="0033644C" w:rsidRDefault="0033644C" w:rsidP="0033644C">
      <w:pPr>
        <w:rPr>
          <w:b/>
          <w:bCs/>
        </w:rPr>
      </w:pPr>
      <w:r w:rsidRPr="0033644C">
        <w:rPr>
          <w:b/>
          <w:bCs/>
        </w:rPr>
        <w:t>Target Metrics:</w:t>
      </w:r>
    </w:p>
    <w:p w14:paraId="02AAE415" w14:textId="77777777" w:rsidR="0033644C" w:rsidRPr="0033644C" w:rsidRDefault="0033644C" w:rsidP="0033644C">
      <w:pPr>
        <w:numPr>
          <w:ilvl w:val="0"/>
          <w:numId w:val="27"/>
        </w:numPr>
        <w:rPr>
          <w:b/>
          <w:bCs/>
        </w:rPr>
      </w:pPr>
      <w:r w:rsidRPr="0033644C">
        <w:rPr>
          <w:b/>
          <w:bCs/>
        </w:rPr>
        <w:t>90% RDRE efficiency demonstrated</w:t>
      </w:r>
    </w:p>
    <w:p w14:paraId="70FC9FC4" w14:textId="77777777" w:rsidR="0033644C" w:rsidRPr="0033644C" w:rsidRDefault="0033644C" w:rsidP="0033644C">
      <w:pPr>
        <w:numPr>
          <w:ilvl w:val="0"/>
          <w:numId w:val="27"/>
        </w:numPr>
        <w:rPr>
          <w:b/>
          <w:bCs/>
        </w:rPr>
      </w:pPr>
      <w:r w:rsidRPr="0033644C">
        <w:rPr>
          <w:b/>
          <w:bCs/>
        </w:rPr>
        <w:t>80% hardware recovery rate</w:t>
      </w:r>
    </w:p>
    <w:p w14:paraId="268A0D81" w14:textId="77777777" w:rsidR="0033644C" w:rsidRPr="0033644C" w:rsidRDefault="0033644C" w:rsidP="0033644C">
      <w:pPr>
        <w:numPr>
          <w:ilvl w:val="0"/>
          <w:numId w:val="27"/>
        </w:numPr>
        <w:rPr>
          <w:b/>
          <w:bCs/>
        </w:rPr>
      </w:pPr>
      <w:r w:rsidRPr="0033644C">
        <w:rPr>
          <w:b/>
          <w:bCs/>
        </w:rPr>
        <w:lastRenderedPageBreak/>
        <w:t>&lt;150 kg pressurized structure dry mass</w:t>
      </w:r>
    </w:p>
    <w:p w14:paraId="1934DC9E" w14:textId="77777777" w:rsidR="0033644C" w:rsidRPr="0033644C" w:rsidRDefault="0033644C" w:rsidP="0033644C">
      <w:pPr>
        <w:numPr>
          <w:ilvl w:val="0"/>
          <w:numId w:val="27"/>
        </w:numPr>
        <w:rPr>
          <w:b/>
          <w:bCs/>
        </w:rPr>
      </w:pPr>
      <w:r w:rsidRPr="0033644C">
        <w:rPr>
          <w:b/>
          <w:bCs/>
        </w:rPr>
        <w:t>3+ successful rideshare tests by 2029</w:t>
      </w:r>
    </w:p>
    <w:p w14:paraId="1C004935" w14:textId="77777777" w:rsidR="0033644C" w:rsidRPr="0033644C" w:rsidRDefault="0033644C" w:rsidP="0033644C">
      <w:pPr>
        <w:numPr>
          <w:ilvl w:val="0"/>
          <w:numId w:val="27"/>
        </w:numPr>
        <w:rPr>
          <w:b/>
          <w:bCs/>
        </w:rPr>
      </w:pPr>
      <w:r w:rsidRPr="0033644C">
        <w:rPr>
          <w:b/>
          <w:bCs/>
        </w:rPr>
        <w:t>Commercial OTV-ready platform by 2031</w:t>
      </w:r>
    </w:p>
    <w:p w14:paraId="52052562" w14:textId="77777777" w:rsidR="0033644C" w:rsidRPr="0033644C" w:rsidRDefault="0033644C" w:rsidP="0033644C">
      <w:pPr>
        <w:rPr>
          <w:b/>
          <w:bCs/>
        </w:rPr>
      </w:pPr>
      <w:r w:rsidRPr="0033644C">
        <w:rPr>
          <w:b/>
          <w:bCs/>
        </w:rPr>
        <w:pict w14:anchorId="63979950">
          <v:rect id="_x0000_i1071" style="width:0;height:1.5pt" o:hralign="center" o:hrstd="t" o:hr="t" fillcolor="#a0a0a0" stroked="f"/>
        </w:pict>
      </w:r>
    </w:p>
    <w:p w14:paraId="2A78041C" w14:textId="77777777" w:rsidR="0033644C" w:rsidRPr="0033644C" w:rsidRDefault="0033644C" w:rsidP="0033644C">
      <w:pPr>
        <w:rPr>
          <w:b/>
          <w:bCs/>
        </w:rPr>
      </w:pPr>
      <w:r w:rsidRPr="0033644C">
        <w:rPr>
          <w:b/>
          <w:bCs/>
        </w:rPr>
        <w:t>Testing and Trade Study Summary</w:t>
      </w:r>
    </w:p>
    <w:p w14:paraId="5942620A" w14:textId="77777777" w:rsidR="0033644C" w:rsidRPr="0033644C" w:rsidRDefault="0033644C" w:rsidP="0033644C">
      <w:pPr>
        <w:rPr>
          <w:b/>
          <w:bCs/>
        </w:rPr>
      </w:pPr>
      <w:r w:rsidRPr="0033644C">
        <w:rPr>
          <w:b/>
          <w:bCs/>
        </w:rPr>
        <w:t xml:space="preserve">A comparative analysis of TSC Gulf barge operations and Midland, TX test facilities </w:t>
      </w:r>
      <w:proofErr w:type="gramStart"/>
      <w:r w:rsidRPr="0033644C">
        <w:rPr>
          <w:b/>
          <w:bCs/>
        </w:rPr>
        <w:t>confirms</w:t>
      </w:r>
      <w:proofErr w:type="gramEnd"/>
      <w:r w:rsidRPr="0033644C">
        <w:rPr>
          <w:b/>
          <w:bCs/>
        </w:rPr>
        <w:t xml:space="preserve"> a hybrid strategy:</w:t>
      </w:r>
    </w:p>
    <w:p w14:paraId="62B7F87E" w14:textId="77777777" w:rsidR="0033644C" w:rsidRPr="0033644C" w:rsidRDefault="0033644C" w:rsidP="0033644C">
      <w:pPr>
        <w:numPr>
          <w:ilvl w:val="0"/>
          <w:numId w:val="28"/>
        </w:numPr>
        <w:rPr>
          <w:b/>
          <w:bCs/>
        </w:rPr>
      </w:pPr>
      <w:r w:rsidRPr="0033644C">
        <w:rPr>
          <w:b/>
          <w:bCs/>
        </w:rPr>
        <w:t>Barge: Optimal for flight safety, recovery operations, and FAA-approved offshore campaigns.</w:t>
      </w:r>
    </w:p>
    <w:p w14:paraId="46C4D1F7" w14:textId="77777777" w:rsidR="0033644C" w:rsidRPr="0033644C" w:rsidRDefault="0033644C" w:rsidP="0033644C">
      <w:pPr>
        <w:numPr>
          <w:ilvl w:val="0"/>
          <w:numId w:val="28"/>
        </w:numPr>
        <w:rPr>
          <w:b/>
          <w:bCs/>
        </w:rPr>
      </w:pPr>
      <w:r w:rsidRPr="0033644C">
        <w:rPr>
          <w:b/>
          <w:bCs/>
        </w:rPr>
        <w:t>Midland: Best for ground integration, engine qualification, and suborbital-to-orbital test transitions.</w:t>
      </w:r>
    </w:p>
    <w:p w14:paraId="07B7C28E" w14:textId="77777777" w:rsidR="0033644C" w:rsidRPr="0033644C" w:rsidRDefault="0033644C" w:rsidP="0033644C">
      <w:pPr>
        <w:numPr>
          <w:ilvl w:val="0"/>
          <w:numId w:val="28"/>
        </w:numPr>
        <w:rPr>
          <w:b/>
          <w:bCs/>
        </w:rPr>
      </w:pPr>
      <w:r w:rsidRPr="0033644C">
        <w:rPr>
          <w:b/>
          <w:bCs/>
        </w:rPr>
        <w:t>Exos Suborbital Fleet: Critical bridge for real-flight testing of RDRE components and orbital vehicle systems prior to full orbital deployments.</w:t>
      </w:r>
      <w:r w:rsidRPr="0033644C">
        <w:rPr>
          <w:b/>
          <w:bCs/>
        </w:rPr>
        <w:br/>
        <w:t>→ Recommendation: Midland for ground and subsystem integration; Exos suborbital flights for validation; TSC barge for full-system dynamic testing.</w:t>
      </w:r>
    </w:p>
    <w:p w14:paraId="2FAF828D" w14:textId="77777777" w:rsidR="0033644C" w:rsidRPr="0033644C" w:rsidRDefault="0033644C" w:rsidP="0033644C">
      <w:pPr>
        <w:rPr>
          <w:b/>
          <w:bCs/>
        </w:rPr>
      </w:pPr>
      <w:r w:rsidRPr="0033644C">
        <w:rPr>
          <w:b/>
          <w:bCs/>
        </w:rPr>
        <w:pict w14:anchorId="49E176C4">
          <v:rect id="_x0000_i1072" style="width:0;height:1.5pt" o:hralign="center" o:hrstd="t" o:hr="t" fillcolor="#a0a0a0" stroked="f"/>
        </w:pict>
      </w:r>
    </w:p>
    <w:p w14:paraId="7B302134" w14:textId="77777777" w:rsidR="0033644C" w:rsidRPr="0033644C" w:rsidRDefault="0033644C" w:rsidP="0033644C">
      <w:pPr>
        <w:rPr>
          <w:b/>
          <w:bCs/>
        </w:rPr>
      </w:pPr>
      <w:r w:rsidRPr="0033644C">
        <w:rPr>
          <w:b/>
          <w:bCs/>
        </w:rPr>
        <w:t>Strategic Advantages</w:t>
      </w:r>
    </w:p>
    <w:p w14:paraId="0076BAC3" w14:textId="77777777" w:rsidR="0033644C" w:rsidRPr="0033644C" w:rsidRDefault="0033644C" w:rsidP="0033644C">
      <w:pPr>
        <w:numPr>
          <w:ilvl w:val="0"/>
          <w:numId w:val="29"/>
        </w:numPr>
        <w:rPr>
          <w:b/>
          <w:bCs/>
        </w:rPr>
      </w:pPr>
      <w:r w:rsidRPr="0033644C">
        <w:rPr>
          <w:b/>
          <w:bCs/>
        </w:rPr>
        <w:t>Integrated Flight Test Path: Ground → Suborbital → Barge → Rideshare, minimizing risk and cost per iteration.</w:t>
      </w:r>
    </w:p>
    <w:p w14:paraId="65E7697C" w14:textId="77777777" w:rsidR="0033644C" w:rsidRPr="0033644C" w:rsidRDefault="0033644C" w:rsidP="0033644C">
      <w:pPr>
        <w:numPr>
          <w:ilvl w:val="0"/>
          <w:numId w:val="29"/>
        </w:numPr>
        <w:rPr>
          <w:b/>
          <w:bCs/>
        </w:rPr>
      </w:pPr>
      <w:r w:rsidRPr="0033644C">
        <w:rPr>
          <w:b/>
          <w:bCs/>
        </w:rPr>
        <w:t>RDRE Advantage: methane/oxygen detonation engine (&gt;350 s Isp potential) via the down-selected path — NASA MSFC license or GTL machined method.</w:t>
      </w:r>
    </w:p>
    <w:p w14:paraId="79C69F0C" w14:textId="77777777" w:rsidR="0033644C" w:rsidRPr="0033644C" w:rsidRDefault="0033644C" w:rsidP="0033644C">
      <w:pPr>
        <w:numPr>
          <w:ilvl w:val="0"/>
          <w:numId w:val="29"/>
        </w:numPr>
        <w:rPr>
          <w:b/>
          <w:bCs/>
        </w:rPr>
      </w:pPr>
      <w:r w:rsidRPr="0033644C">
        <w:rPr>
          <w:b/>
          <w:bCs/>
        </w:rPr>
        <w:t>Reusable Infrastructure: Exos suborbital platforms enable rapid reuse and real-world data collection.</w:t>
      </w:r>
    </w:p>
    <w:p w14:paraId="53D09555" w14:textId="77777777" w:rsidR="0033644C" w:rsidRPr="0033644C" w:rsidRDefault="0033644C" w:rsidP="0033644C">
      <w:pPr>
        <w:numPr>
          <w:ilvl w:val="0"/>
          <w:numId w:val="29"/>
        </w:numPr>
        <w:rPr>
          <w:b/>
          <w:bCs/>
        </w:rPr>
      </w:pPr>
      <w:r w:rsidRPr="0033644C">
        <w:rPr>
          <w:b/>
          <w:bCs/>
        </w:rPr>
        <w:t>Cost Efficiency: Rideshare strategy reduces orbital access costs by &gt;60% versus dedicated launch.</w:t>
      </w:r>
    </w:p>
    <w:p w14:paraId="03FDAF08" w14:textId="77777777" w:rsidR="0033644C" w:rsidRPr="0033644C" w:rsidRDefault="0033644C" w:rsidP="0033644C">
      <w:pPr>
        <w:numPr>
          <w:ilvl w:val="0"/>
          <w:numId w:val="29"/>
        </w:numPr>
        <w:rPr>
          <w:b/>
          <w:bCs/>
        </w:rPr>
      </w:pPr>
      <w:r w:rsidRPr="0033644C">
        <w:rPr>
          <w:b/>
          <w:bCs/>
        </w:rPr>
        <w:lastRenderedPageBreak/>
        <w:t>Texas Ecosystem Synergy: Co-located testing, composites manufacturing, and workforce availability.</w:t>
      </w:r>
    </w:p>
    <w:p w14:paraId="36306E85" w14:textId="77777777" w:rsidR="0033644C" w:rsidRPr="0033644C" w:rsidRDefault="0033644C" w:rsidP="0033644C">
      <w:pPr>
        <w:rPr>
          <w:b/>
          <w:bCs/>
        </w:rPr>
      </w:pPr>
      <w:r w:rsidRPr="0033644C">
        <w:rPr>
          <w:b/>
          <w:bCs/>
        </w:rPr>
        <w:pict w14:anchorId="69961BD6">
          <v:rect id="_x0000_i1073" style="width:0;height:1.5pt" o:hralign="center" o:hrstd="t" o:hr="t" fillcolor="#a0a0a0" stroked="f"/>
        </w:pict>
      </w:r>
    </w:p>
    <w:p w14:paraId="7B0CA906" w14:textId="77777777" w:rsidR="0033644C" w:rsidRPr="0033644C" w:rsidRDefault="0033644C" w:rsidP="0033644C">
      <w:pPr>
        <w:rPr>
          <w:b/>
          <w:bCs/>
        </w:rPr>
      </w:pPr>
      <w:r w:rsidRPr="0033644C">
        <w:rPr>
          <w:b/>
          <w:bCs/>
        </w:rPr>
        <w:t>Next Actions (Q4 2026)</w:t>
      </w:r>
    </w:p>
    <w:p w14:paraId="2FBD3AAD" w14:textId="77777777" w:rsidR="0033644C" w:rsidRPr="0033644C" w:rsidRDefault="0033644C" w:rsidP="0033644C">
      <w:pPr>
        <w:numPr>
          <w:ilvl w:val="0"/>
          <w:numId w:val="30"/>
        </w:numPr>
        <w:rPr>
          <w:b/>
          <w:bCs/>
        </w:rPr>
      </w:pPr>
      <w:r w:rsidRPr="0033644C">
        <w:rPr>
          <w:b/>
          <w:bCs/>
        </w:rPr>
        <w:t>Execute the SSLC Sales Commission Agreement (15% on SSLC tank hardware sold through Exos at SSLC's quoted price, including SSLC sales to Exos); run the RDRE trade study and down-select (NASA MSFC license vs. GTL machined method).</w:t>
      </w:r>
    </w:p>
    <w:p w14:paraId="0980BD1E" w14:textId="77777777" w:rsidR="0033644C" w:rsidRPr="0033644C" w:rsidRDefault="0033644C" w:rsidP="0033644C">
      <w:pPr>
        <w:numPr>
          <w:ilvl w:val="0"/>
          <w:numId w:val="30"/>
        </w:numPr>
        <w:rPr>
          <w:b/>
          <w:bCs/>
        </w:rPr>
      </w:pPr>
      <w:r w:rsidRPr="0033644C">
        <w:rPr>
          <w:b/>
          <w:bCs/>
        </w:rPr>
        <w:t>Modify Exos suborbital vehicles for integrated RDRE subsystem testing.</w:t>
      </w:r>
    </w:p>
    <w:p w14:paraId="2AE3D934" w14:textId="77777777" w:rsidR="0033644C" w:rsidRPr="0033644C" w:rsidRDefault="0033644C" w:rsidP="0033644C">
      <w:pPr>
        <w:numPr>
          <w:ilvl w:val="0"/>
          <w:numId w:val="30"/>
        </w:numPr>
        <w:rPr>
          <w:b/>
          <w:bCs/>
        </w:rPr>
      </w:pPr>
      <w:r w:rsidRPr="0033644C">
        <w:rPr>
          <w:b/>
          <w:bCs/>
        </w:rPr>
        <w:t>Secure TSC barge access and rideshare LOIs (SpaceX, Rocket Lab, Firefly).</w:t>
      </w:r>
    </w:p>
    <w:p w14:paraId="0210674D" w14:textId="77777777" w:rsidR="0033644C" w:rsidRPr="0033644C" w:rsidRDefault="0033644C" w:rsidP="0033644C">
      <w:pPr>
        <w:numPr>
          <w:ilvl w:val="0"/>
          <w:numId w:val="30"/>
        </w:numPr>
        <w:rPr>
          <w:b/>
          <w:bCs/>
        </w:rPr>
      </w:pPr>
      <w:r w:rsidRPr="0033644C">
        <w:rPr>
          <w:b/>
          <w:bCs/>
        </w:rPr>
        <w:t>Begin composite structure and avionics PDR integration at Midland.</w:t>
      </w:r>
    </w:p>
    <w:p w14:paraId="18D85CBC" w14:textId="77777777" w:rsidR="006E0DEB" w:rsidRPr="0033644C" w:rsidRDefault="006E0DEB" w:rsidP="0033644C"/>
    <w:sectPr w:rsidR="006E0DEB" w:rsidRPr="0033644C" w:rsidSect="004073BA">
      <w:headerReference w:type="default" r:id="rId8"/>
      <w:footerReference w:type="default" r:id="rId9"/>
      <w:pgSz w:w="12240" w:h="15840"/>
      <w:pgMar w:top="1584" w:right="1440" w:bottom="151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729E" w14:textId="77777777" w:rsidR="00531D80" w:rsidRDefault="00531D80" w:rsidP="00531D80">
      <w:pPr>
        <w:spacing w:after="0" w:line="240" w:lineRule="auto"/>
      </w:pPr>
      <w:r>
        <w:separator/>
      </w:r>
    </w:p>
  </w:endnote>
  <w:endnote w:type="continuationSeparator" w:id="0">
    <w:p w14:paraId="079DC98E" w14:textId="77777777" w:rsidR="00531D80" w:rsidRDefault="00531D80" w:rsidP="0053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D969" w14:textId="77777777" w:rsidR="00531D80" w:rsidRDefault="00531D80" w:rsidP="00531D80">
      <w:pPr>
        <w:spacing w:after="0" w:line="240" w:lineRule="auto"/>
      </w:pPr>
      <w:r>
        <w:separator/>
      </w:r>
    </w:p>
  </w:footnote>
  <w:footnote w:type="continuationSeparator" w:id="0">
    <w:p w14:paraId="7600843C" w14:textId="77777777" w:rsidR="00531D80" w:rsidRDefault="00531D80" w:rsidP="00531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F4"/>
    <w:multiLevelType w:val="multilevel"/>
    <w:tmpl w:val="F5B2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17F2"/>
    <w:multiLevelType w:val="multilevel"/>
    <w:tmpl w:val="AECC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D17D8"/>
    <w:multiLevelType w:val="multilevel"/>
    <w:tmpl w:val="E14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63CC"/>
    <w:multiLevelType w:val="multilevel"/>
    <w:tmpl w:val="9A2A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F2C7A"/>
    <w:multiLevelType w:val="multilevel"/>
    <w:tmpl w:val="EFD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1804"/>
    <w:multiLevelType w:val="multilevel"/>
    <w:tmpl w:val="23C0C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D0EB7"/>
    <w:multiLevelType w:val="multilevel"/>
    <w:tmpl w:val="7F38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E4A62"/>
    <w:multiLevelType w:val="multilevel"/>
    <w:tmpl w:val="C51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43BF4"/>
    <w:multiLevelType w:val="multilevel"/>
    <w:tmpl w:val="732CE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746F3"/>
    <w:multiLevelType w:val="multilevel"/>
    <w:tmpl w:val="59BE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72977"/>
    <w:multiLevelType w:val="multilevel"/>
    <w:tmpl w:val="E102B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57BE3"/>
    <w:multiLevelType w:val="multilevel"/>
    <w:tmpl w:val="1D7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5605"/>
    <w:multiLevelType w:val="multilevel"/>
    <w:tmpl w:val="A27E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E5D3B"/>
    <w:multiLevelType w:val="multilevel"/>
    <w:tmpl w:val="E7A09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63D93"/>
    <w:multiLevelType w:val="multilevel"/>
    <w:tmpl w:val="D82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65942"/>
    <w:multiLevelType w:val="multilevel"/>
    <w:tmpl w:val="04A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25351"/>
    <w:multiLevelType w:val="multilevel"/>
    <w:tmpl w:val="4586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568CD"/>
    <w:multiLevelType w:val="multilevel"/>
    <w:tmpl w:val="998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E6932"/>
    <w:multiLevelType w:val="multilevel"/>
    <w:tmpl w:val="F42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778F8"/>
    <w:multiLevelType w:val="multilevel"/>
    <w:tmpl w:val="23C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85EA3"/>
    <w:multiLevelType w:val="multilevel"/>
    <w:tmpl w:val="B02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94C6C"/>
    <w:multiLevelType w:val="multilevel"/>
    <w:tmpl w:val="41B0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F3C78"/>
    <w:multiLevelType w:val="multilevel"/>
    <w:tmpl w:val="04347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27D66"/>
    <w:multiLevelType w:val="multilevel"/>
    <w:tmpl w:val="2068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B0A4A"/>
    <w:multiLevelType w:val="multilevel"/>
    <w:tmpl w:val="DAEC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C64AA"/>
    <w:multiLevelType w:val="multilevel"/>
    <w:tmpl w:val="10A6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D622A"/>
    <w:multiLevelType w:val="multilevel"/>
    <w:tmpl w:val="838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C5B95"/>
    <w:multiLevelType w:val="multilevel"/>
    <w:tmpl w:val="74927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65CD1"/>
    <w:multiLevelType w:val="multilevel"/>
    <w:tmpl w:val="33A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A7CE9"/>
    <w:multiLevelType w:val="multilevel"/>
    <w:tmpl w:val="805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726760">
    <w:abstractNumId w:val="5"/>
  </w:num>
  <w:num w:numId="2" w16cid:durableId="278613692">
    <w:abstractNumId w:val="3"/>
  </w:num>
  <w:num w:numId="3" w16cid:durableId="75320540">
    <w:abstractNumId w:val="22"/>
  </w:num>
  <w:num w:numId="4" w16cid:durableId="1882278743">
    <w:abstractNumId w:val="27"/>
  </w:num>
  <w:num w:numId="5" w16cid:durableId="1141850498">
    <w:abstractNumId w:val="29"/>
  </w:num>
  <w:num w:numId="6" w16cid:durableId="1608077319">
    <w:abstractNumId w:val="13"/>
  </w:num>
  <w:num w:numId="7" w16cid:durableId="456802661">
    <w:abstractNumId w:val="25"/>
  </w:num>
  <w:num w:numId="8" w16cid:durableId="1834568429">
    <w:abstractNumId w:val="1"/>
  </w:num>
  <w:num w:numId="9" w16cid:durableId="1715813076">
    <w:abstractNumId w:val="12"/>
  </w:num>
  <w:num w:numId="10" w16cid:durableId="1286541571">
    <w:abstractNumId w:val="4"/>
  </w:num>
  <w:num w:numId="11" w16cid:durableId="1530679411">
    <w:abstractNumId w:val="24"/>
  </w:num>
  <w:num w:numId="12" w16cid:durableId="1429346920">
    <w:abstractNumId w:val="10"/>
  </w:num>
  <w:num w:numId="13" w16cid:durableId="798886265">
    <w:abstractNumId w:val="16"/>
  </w:num>
  <w:num w:numId="14" w16cid:durableId="2031182339">
    <w:abstractNumId w:val="0"/>
  </w:num>
  <w:num w:numId="15" w16cid:durableId="2077849306">
    <w:abstractNumId w:val="19"/>
  </w:num>
  <w:num w:numId="16" w16cid:durableId="1935822824">
    <w:abstractNumId w:val="8"/>
  </w:num>
  <w:num w:numId="17" w16cid:durableId="1920092462">
    <w:abstractNumId w:val="23"/>
  </w:num>
  <w:num w:numId="18" w16cid:durableId="304893820">
    <w:abstractNumId w:val="9"/>
  </w:num>
  <w:num w:numId="19" w16cid:durableId="975259585">
    <w:abstractNumId w:val="6"/>
  </w:num>
  <w:num w:numId="20" w16cid:durableId="377706333">
    <w:abstractNumId w:val="2"/>
  </w:num>
  <w:num w:numId="21" w16cid:durableId="814296999">
    <w:abstractNumId w:val="7"/>
  </w:num>
  <w:num w:numId="22" w16cid:durableId="164369924">
    <w:abstractNumId w:val="20"/>
  </w:num>
  <w:num w:numId="23" w16cid:durableId="991638838">
    <w:abstractNumId w:val="18"/>
  </w:num>
  <w:num w:numId="24" w16cid:durableId="957106186">
    <w:abstractNumId w:val="11"/>
  </w:num>
  <w:num w:numId="25" w16cid:durableId="799155930">
    <w:abstractNumId w:val="28"/>
  </w:num>
  <w:num w:numId="26" w16cid:durableId="2063165302">
    <w:abstractNumId w:val="15"/>
  </w:num>
  <w:num w:numId="27" w16cid:durableId="235630255">
    <w:abstractNumId w:val="26"/>
  </w:num>
  <w:num w:numId="28" w16cid:durableId="1540169884">
    <w:abstractNumId w:val="21"/>
  </w:num>
  <w:num w:numId="29" w16cid:durableId="1151101216">
    <w:abstractNumId w:val="14"/>
  </w:num>
  <w:num w:numId="30" w16cid:durableId="1030405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EB"/>
    <w:rsid w:val="001B259D"/>
    <w:rsid w:val="00227C10"/>
    <w:rsid w:val="0033644C"/>
    <w:rsid w:val="003E3138"/>
    <w:rsid w:val="003F0DB6"/>
    <w:rsid w:val="00400A57"/>
    <w:rsid w:val="004073BA"/>
    <w:rsid w:val="00462E0C"/>
    <w:rsid w:val="00531D80"/>
    <w:rsid w:val="006E0DEB"/>
    <w:rsid w:val="008974DB"/>
    <w:rsid w:val="00BC22D9"/>
    <w:rsid w:val="00D53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8E36"/>
  <w15:chartTrackingRefBased/>
  <w15:docId w15:val="{8C72AA8D-4D93-459B-9064-3F24AF7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DEB"/>
    <w:rPr>
      <w:rFonts w:eastAsiaTheme="majorEastAsia" w:cstheme="majorBidi"/>
      <w:color w:val="272727" w:themeColor="text1" w:themeTint="D8"/>
    </w:rPr>
  </w:style>
  <w:style w:type="paragraph" w:styleId="Title">
    <w:name w:val="Title"/>
    <w:basedOn w:val="Normal"/>
    <w:next w:val="Normal"/>
    <w:link w:val="TitleChar"/>
    <w:uiPriority w:val="10"/>
    <w:qFormat/>
    <w:rsid w:val="006E0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DEB"/>
    <w:pPr>
      <w:spacing w:before="160"/>
      <w:jc w:val="center"/>
    </w:pPr>
    <w:rPr>
      <w:i/>
      <w:iCs/>
      <w:color w:val="404040" w:themeColor="text1" w:themeTint="BF"/>
    </w:rPr>
  </w:style>
  <w:style w:type="character" w:customStyle="1" w:styleId="QuoteChar">
    <w:name w:val="Quote Char"/>
    <w:basedOn w:val="DefaultParagraphFont"/>
    <w:link w:val="Quote"/>
    <w:uiPriority w:val="29"/>
    <w:rsid w:val="006E0DEB"/>
    <w:rPr>
      <w:i/>
      <w:iCs/>
      <w:color w:val="404040" w:themeColor="text1" w:themeTint="BF"/>
    </w:rPr>
  </w:style>
  <w:style w:type="paragraph" w:styleId="ListParagraph">
    <w:name w:val="List Paragraph"/>
    <w:basedOn w:val="Normal"/>
    <w:uiPriority w:val="34"/>
    <w:qFormat/>
    <w:rsid w:val="006E0DEB"/>
    <w:pPr>
      <w:ind w:left="720"/>
      <w:contextualSpacing/>
    </w:pPr>
  </w:style>
  <w:style w:type="character" w:styleId="IntenseEmphasis">
    <w:name w:val="Intense Emphasis"/>
    <w:basedOn w:val="DefaultParagraphFont"/>
    <w:uiPriority w:val="21"/>
    <w:qFormat/>
    <w:rsid w:val="006E0DEB"/>
    <w:rPr>
      <w:i/>
      <w:iCs/>
      <w:color w:val="0F4761" w:themeColor="accent1" w:themeShade="BF"/>
    </w:rPr>
  </w:style>
  <w:style w:type="paragraph" w:styleId="IntenseQuote">
    <w:name w:val="Intense Quote"/>
    <w:basedOn w:val="Normal"/>
    <w:next w:val="Normal"/>
    <w:link w:val="IntenseQuoteChar"/>
    <w:uiPriority w:val="30"/>
    <w:qFormat/>
    <w:rsid w:val="006E0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DEB"/>
    <w:rPr>
      <w:i/>
      <w:iCs/>
      <w:color w:val="0F4761" w:themeColor="accent1" w:themeShade="BF"/>
    </w:rPr>
  </w:style>
  <w:style w:type="character" w:styleId="IntenseReference">
    <w:name w:val="Intense Reference"/>
    <w:basedOn w:val="DefaultParagraphFont"/>
    <w:uiPriority w:val="32"/>
    <w:qFormat/>
    <w:rsid w:val="006E0DEB"/>
    <w:rPr>
      <w:b/>
      <w:bCs/>
      <w:smallCaps/>
      <w:color w:val="0F4761" w:themeColor="accent1" w:themeShade="BF"/>
      <w:spacing w:val="5"/>
    </w:rPr>
  </w:style>
  <w:style w:type="character" w:styleId="Hyperlink">
    <w:name w:val="Hyperlink"/>
    <w:basedOn w:val="DefaultParagraphFont"/>
    <w:uiPriority w:val="99"/>
    <w:unhideWhenUsed/>
    <w:rsid w:val="00400A57"/>
    <w:rPr>
      <w:color w:val="467886" w:themeColor="hyperlink"/>
      <w:u w:val="single"/>
    </w:rPr>
  </w:style>
  <w:style w:type="character" w:styleId="UnresolvedMention">
    <w:name w:val="Unresolved Mention"/>
    <w:basedOn w:val="DefaultParagraphFont"/>
    <w:uiPriority w:val="99"/>
    <w:semiHidden/>
    <w:unhideWhenUsed/>
    <w:rsid w:val="00400A57"/>
    <w:rPr>
      <w:color w:val="605E5C"/>
      <w:shd w:val="clear" w:color="auto" w:fill="E1DFDD"/>
    </w:rPr>
  </w:style>
  <w:style w:type="paragraph" w:styleId="Header">
    <w:name w:val="header"/>
    <w:basedOn w:val="Normal"/>
    <w:link w:val="HeaderChar"/>
    <w:uiPriority w:val="99"/>
    <w:unhideWhenUsed/>
    <w:rsid w:val="00531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D80"/>
  </w:style>
  <w:style w:type="paragraph" w:styleId="Footer">
    <w:name w:val="footer"/>
    <w:basedOn w:val="Normal"/>
    <w:link w:val="FooterChar"/>
    <w:uiPriority w:val="99"/>
    <w:unhideWhenUsed/>
    <w:rsid w:val="00531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28965">
      <w:bodyDiv w:val="1"/>
      <w:marLeft w:val="0"/>
      <w:marRight w:val="0"/>
      <w:marTop w:val="0"/>
      <w:marBottom w:val="0"/>
      <w:divBdr>
        <w:top w:val="none" w:sz="0" w:space="0" w:color="auto"/>
        <w:left w:val="none" w:sz="0" w:space="0" w:color="auto"/>
        <w:bottom w:val="none" w:sz="0" w:space="0" w:color="auto"/>
        <w:right w:val="none" w:sz="0" w:space="0" w:color="auto"/>
      </w:divBdr>
      <w:divsChild>
        <w:div w:id="565798883">
          <w:marLeft w:val="0"/>
          <w:marRight w:val="0"/>
          <w:marTop w:val="0"/>
          <w:marBottom w:val="0"/>
          <w:divBdr>
            <w:top w:val="none" w:sz="0" w:space="0" w:color="auto"/>
            <w:left w:val="none" w:sz="0" w:space="0" w:color="auto"/>
            <w:bottom w:val="none" w:sz="0" w:space="0" w:color="auto"/>
            <w:right w:val="none" w:sz="0" w:space="0" w:color="auto"/>
          </w:divBdr>
          <w:divsChild>
            <w:div w:id="814495362">
              <w:marLeft w:val="0"/>
              <w:marRight w:val="0"/>
              <w:marTop w:val="0"/>
              <w:marBottom w:val="0"/>
              <w:divBdr>
                <w:top w:val="none" w:sz="0" w:space="0" w:color="auto"/>
                <w:left w:val="none" w:sz="0" w:space="0" w:color="auto"/>
                <w:bottom w:val="none" w:sz="0" w:space="0" w:color="auto"/>
                <w:right w:val="none" w:sz="0" w:space="0" w:color="auto"/>
              </w:divBdr>
              <w:divsChild>
                <w:div w:id="8259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74847">
      <w:bodyDiv w:val="1"/>
      <w:marLeft w:val="0"/>
      <w:marRight w:val="0"/>
      <w:marTop w:val="0"/>
      <w:marBottom w:val="0"/>
      <w:divBdr>
        <w:top w:val="none" w:sz="0" w:space="0" w:color="auto"/>
        <w:left w:val="none" w:sz="0" w:space="0" w:color="auto"/>
        <w:bottom w:val="none" w:sz="0" w:space="0" w:color="auto"/>
        <w:right w:val="none" w:sz="0" w:space="0" w:color="auto"/>
      </w:divBdr>
      <w:divsChild>
        <w:div w:id="186621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757223">
      <w:bodyDiv w:val="1"/>
      <w:marLeft w:val="0"/>
      <w:marRight w:val="0"/>
      <w:marTop w:val="0"/>
      <w:marBottom w:val="0"/>
      <w:divBdr>
        <w:top w:val="none" w:sz="0" w:space="0" w:color="auto"/>
        <w:left w:val="none" w:sz="0" w:space="0" w:color="auto"/>
        <w:bottom w:val="none" w:sz="0" w:space="0" w:color="auto"/>
        <w:right w:val="none" w:sz="0" w:space="0" w:color="auto"/>
      </w:divBdr>
      <w:divsChild>
        <w:div w:id="670261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08798">
      <w:bodyDiv w:val="1"/>
      <w:marLeft w:val="0"/>
      <w:marRight w:val="0"/>
      <w:marTop w:val="0"/>
      <w:marBottom w:val="0"/>
      <w:divBdr>
        <w:top w:val="none" w:sz="0" w:space="0" w:color="auto"/>
        <w:left w:val="none" w:sz="0" w:space="0" w:color="auto"/>
        <w:bottom w:val="none" w:sz="0" w:space="0" w:color="auto"/>
        <w:right w:val="none" w:sz="0" w:space="0" w:color="auto"/>
      </w:divBdr>
      <w:divsChild>
        <w:div w:id="113796525">
          <w:marLeft w:val="0"/>
          <w:marRight w:val="0"/>
          <w:marTop w:val="0"/>
          <w:marBottom w:val="0"/>
          <w:divBdr>
            <w:top w:val="none" w:sz="0" w:space="0" w:color="auto"/>
            <w:left w:val="none" w:sz="0" w:space="0" w:color="auto"/>
            <w:bottom w:val="none" w:sz="0" w:space="0" w:color="auto"/>
            <w:right w:val="none" w:sz="0" w:space="0" w:color="auto"/>
          </w:divBdr>
          <w:divsChild>
            <w:div w:id="1290742359">
              <w:marLeft w:val="0"/>
              <w:marRight w:val="0"/>
              <w:marTop w:val="0"/>
              <w:marBottom w:val="0"/>
              <w:divBdr>
                <w:top w:val="none" w:sz="0" w:space="0" w:color="auto"/>
                <w:left w:val="none" w:sz="0" w:space="0" w:color="auto"/>
                <w:bottom w:val="none" w:sz="0" w:space="0" w:color="auto"/>
                <w:right w:val="none" w:sz="0" w:space="0" w:color="auto"/>
              </w:divBdr>
              <w:divsChild>
                <w:div w:id="1004479032">
                  <w:marLeft w:val="0"/>
                  <w:marRight w:val="0"/>
                  <w:marTop w:val="0"/>
                  <w:marBottom w:val="0"/>
                  <w:divBdr>
                    <w:top w:val="none" w:sz="0" w:space="0" w:color="auto"/>
                    <w:left w:val="none" w:sz="0" w:space="0" w:color="auto"/>
                    <w:bottom w:val="none" w:sz="0" w:space="0" w:color="auto"/>
                    <w:right w:val="none" w:sz="0" w:space="0" w:color="auto"/>
                  </w:divBdr>
                </w:div>
              </w:divsChild>
            </w:div>
            <w:div w:id="1208418891">
              <w:marLeft w:val="0"/>
              <w:marRight w:val="0"/>
              <w:marTop w:val="0"/>
              <w:marBottom w:val="0"/>
              <w:divBdr>
                <w:top w:val="none" w:sz="0" w:space="0" w:color="auto"/>
                <w:left w:val="none" w:sz="0" w:space="0" w:color="auto"/>
                <w:bottom w:val="none" w:sz="0" w:space="0" w:color="auto"/>
                <w:right w:val="none" w:sz="0" w:space="0" w:color="auto"/>
              </w:divBdr>
              <w:divsChild>
                <w:div w:id="608008069">
                  <w:marLeft w:val="0"/>
                  <w:marRight w:val="0"/>
                  <w:marTop w:val="0"/>
                  <w:marBottom w:val="0"/>
                  <w:divBdr>
                    <w:top w:val="none" w:sz="0" w:space="0" w:color="auto"/>
                    <w:left w:val="none" w:sz="0" w:space="0" w:color="auto"/>
                    <w:bottom w:val="none" w:sz="0" w:space="0" w:color="auto"/>
                    <w:right w:val="none" w:sz="0" w:space="0" w:color="auto"/>
                  </w:divBdr>
                  <w:divsChild>
                    <w:div w:id="1966766299">
                      <w:marLeft w:val="0"/>
                      <w:marRight w:val="0"/>
                      <w:marTop w:val="0"/>
                      <w:marBottom w:val="0"/>
                      <w:divBdr>
                        <w:top w:val="none" w:sz="0" w:space="0" w:color="auto"/>
                        <w:left w:val="none" w:sz="0" w:space="0" w:color="auto"/>
                        <w:bottom w:val="none" w:sz="0" w:space="0" w:color="auto"/>
                        <w:right w:val="none" w:sz="0" w:space="0" w:color="auto"/>
                      </w:divBdr>
                      <w:divsChild>
                        <w:div w:id="17835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33718">
      <w:bodyDiv w:val="1"/>
      <w:marLeft w:val="0"/>
      <w:marRight w:val="0"/>
      <w:marTop w:val="0"/>
      <w:marBottom w:val="0"/>
      <w:divBdr>
        <w:top w:val="none" w:sz="0" w:space="0" w:color="auto"/>
        <w:left w:val="none" w:sz="0" w:space="0" w:color="auto"/>
        <w:bottom w:val="none" w:sz="0" w:space="0" w:color="auto"/>
        <w:right w:val="none" w:sz="0" w:space="0" w:color="auto"/>
      </w:divBdr>
    </w:div>
    <w:div w:id="1345748160">
      <w:bodyDiv w:val="1"/>
      <w:marLeft w:val="0"/>
      <w:marRight w:val="0"/>
      <w:marTop w:val="0"/>
      <w:marBottom w:val="0"/>
      <w:divBdr>
        <w:top w:val="none" w:sz="0" w:space="0" w:color="auto"/>
        <w:left w:val="none" w:sz="0" w:space="0" w:color="auto"/>
        <w:bottom w:val="none" w:sz="0" w:space="0" w:color="auto"/>
        <w:right w:val="none" w:sz="0" w:space="0" w:color="auto"/>
      </w:divBdr>
    </w:div>
    <w:div w:id="1458522156">
      <w:bodyDiv w:val="1"/>
      <w:marLeft w:val="0"/>
      <w:marRight w:val="0"/>
      <w:marTop w:val="0"/>
      <w:marBottom w:val="0"/>
      <w:divBdr>
        <w:top w:val="none" w:sz="0" w:space="0" w:color="auto"/>
        <w:left w:val="none" w:sz="0" w:space="0" w:color="auto"/>
        <w:bottom w:val="none" w:sz="0" w:space="0" w:color="auto"/>
        <w:right w:val="none" w:sz="0" w:space="0" w:color="auto"/>
      </w:divBdr>
    </w:div>
    <w:div w:id="1681660266">
      <w:bodyDiv w:val="1"/>
      <w:marLeft w:val="0"/>
      <w:marRight w:val="0"/>
      <w:marTop w:val="0"/>
      <w:marBottom w:val="0"/>
      <w:divBdr>
        <w:top w:val="none" w:sz="0" w:space="0" w:color="auto"/>
        <w:left w:val="none" w:sz="0" w:space="0" w:color="auto"/>
        <w:bottom w:val="none" w:sz="0" w:space="0" w:color="auto"/>
        <w:right w:val="none" w:sz="0" w:space="0" w:color="auto"/>
      </w:divBdr>
    </w:div>
    <w:div w:id="1910460067">
      <w:bodyDiv w:val="1"/>
      <w:marLeft w:val="0"/>
      <w:marRight w:val="0"/>
      <w:marTop w:val="0"/>
      <w:marBottom w:val="0"/>
      <w:divBdr>
        <w:top w:val="none" w:sz="0" w:space="0" w:color="auto"/>
        <w:left w:val="none" w:sz="0" w:space="0" w:color="auto"/>
        <w:bottom w:val="none" w:sz="0" w:space="0" w:color="auto"/>
        <w:right w:val="none" w:sz="0" w:space="0" w:color="auto"/>
      </w:divBdr>
      <w:divsChild>
        <w:div w:id="243993534">
          <w:marLeft w:val="0"/>
          <w:marRight w:val="0"/>
          <w:marTop w:val="0"/>
          <w:marBottom w:val="0"/>
          <w:divBdr>
            <w:top w:val="none" w:sz="0" w:space="0" w:color="auto"/>
            <w:left w:val="none" w:sz="0" w:space="0" w:color="auto"/>
            <w:bottom w:val="none" w:sz="0" w:space="0" w:color="auto"/>
            <w:right w:val="none" w:sz="0" w:space="0" w:color="auto"/>
          </w:divBdr>
          <w:divsChild>
            <w:div w:id="1250700028">
              <w:marLeft w:val="0"/>
              <w:marRight w:val="0"/>
              <w:marTop w:val="0"/>
              <w:marBottom w:val="0"/>
              <w:divBdr>
                <w:top w:val="none" w:sz="0" w:space="0" w:color="auto"/>
                <w:left w:val="none" w:sz="0" w:space="0" w:color="auto"/>
                <w:bottom w:val="none" w:sz="0" w:space="0" w:color="auto"/>
                <w:right w:val="none" w:sz="0" w:space="0" w:color="auto"/>
              </w:divBdr>
              <w:divsChild>
                <w:div w:id="20466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20087">
      <w:bodyDiv w:val="1"/>
      <w:marLeft w:val="0"/>
      <w:marRight w:val="0"/>
      <w:marTop w:val="0"/>
      <w:marBottom w:val="0"/>
      <w:divBdr>
        <w:top w:val="none" w:sz="0" w:space="0" w:color="auto"/>
        <w:left w:val="none" w:sz="0" w:space="0" w:color="auto"/>
        <w:bottom w:val="none" w:sz="0" w:space="0" w:color="auto"/>
        <w:right w:val="none" w:sz="0" w:space="0" w:color="auto"/>
      </w:divBdr>
      <w:divsChild>
        <w:div w:id="354430312">
          <w:marLeft w:val="0"/>
          <w:marRight w:val="0"/>
          <w:marTop w:val="0"/>
          <w:marBottom w:val="0"/>
          <w:divBdr>
            <w:top w:val="none" w:sz="0" w:space="0" w:color="auto"/>
            <w:left w:val="none" w:sz="0" w:space="0" w:color="auto"/>
            <w:bottom w:val="none" w:sz="0" w:space="0" w:color="auto"/>
            <w:right w:val="none" w:sz="0" w:space="0" w:color="auto"/>
          </w:divBdr>
          <w:divsChild>
            <w:div w:id="1333874140">
              <w:marLeft w:val="0"/>
              <w:marRight w:val="0"/>
              <w:marTop w:val="0"/>
              <w:marBottom w:val="0"/>
              <w:divBdr>
                <w:top w:val="none" w:sz="0" w:space="0" w:color="auto"/>
                <w:left w:val="none" w:sz="0" w:space="0" w:color="auto"/>
                <w:bottom w:val="none" w:sz="0" w:space="0" w:color="auto"/>
                <w:right w:val="none" w:sz="0" w:space="0" w:color="auto"/>
              </w:divBdr>
              <w:divsChild>
                <w:div w:id="15592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7" ma:contentTypeDescription="Create a new document." ma:contentTypeScope="" ma:versionID="adafe49bafdaf0f5bf351036e1d33e72">
  <xsd:schema xmlns:xsd="http://www.w3.org/2001/XMLSchema" xmlns:xs="http://www.w3.org/2001/XMLSchema" xmlns:p="http://schemas.microsoft.com/office/2006/metadata/properties" xmlns:ns2="e1558a10-1879-455f-b4fa-cfdedf85505e" targetNamespace="http://schemas.microsoft.com/office/2006/metadata/properties" ma:root="true" ma:fieldsID="274a109449ce62e251d7c6e0c4ce80bc"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CE6809-4C78-4D88-943B-653587C6A648}">
  <ds:schemaRefs>
    <ds:schemaRef ds:uri="http://schemas.openxmlformats.org/officeDocument/2006/bibliography"/>
  </ds:schemaRefs>
</ds:datastoreItem>
</file>

<file path=customXml/itemProps2.xml><?xml version="1.0" encoding="utf-8"?>
<ds:datastoreItem xmlns:ds="http://schemas.openxmlformats.org/officeDocument/2006/customXml" ds:itemID="{51EC01C9-0C42-4D99-9EB1-66450FAEC7AD}"/>
</file>

<file path=customXml/itemProps3.xml><?xml version="1.0" encoding="utf-8"?>
<ds:datastoreItem xmlns:ds="http://schemas.openxmlformats.org/officeDocument/2006/customXml" ds:itemID="{DEC06FED-369C-4E00-AF11-3B05D68EC377}"/>
</file>

<file path=customXml/itemProps4.xml><?xml version="1.0" encoding="utf-8"?>
<ds:datastoreItem xmlns:ds="http://schemas.openxmlformats.org/officeDocument/2006/customXml" ds:itemID="{10FA1992-F2E7-4DF8-8D9C-AB858BBA8C53}"/>
</file>

<file path=docProps/app.xml><?xml version="1.0" encoding="utf-8"?>
<Properties xmlns="http://schemas.openxmlformats.org/officeDocument/2006/extended-properties" xmlns:vt="http://schemas.openxmlformats.org/officeDocument/2006/docPropsVTypes">
  <Template>Normal</Template>
  <TotalTime>412</TotalTime>
  <Pages>5</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Quinn</dc:creator>
  <cp:keywords/>
  <dc:description/>
  <cp:lastModifiedBy>John Quinn</cp:lastModifiedBy>
  <cp:revision>2</cp:revision>
  <dcterms:created xsi:type="dcterms:W3CDTF">2025-11-09T02:42:00Z</dcterms:created>
  <dcterms:modified xsi:type="dcterms:W3CDTF">2025-11-09T02:42:00Z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