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171B"/>
          <w:sz w:val="36"/>
        </w:rPr>
        <w:t>Exos Aerospace — Canonical Narrative &amp; Messaging</w:t>
      </w:r>
    </w:p>
    <w:p>
      <w:r>
        <w:rPr>
          <w:i/>
          <w:color w:val="555555"/>
          <w:sz w:val="18"/>
        </w:rPr>
        <w:t>Single source of truth for the MTP and enabling-platform story. All canonical documents — business plan, investor deck, one-pagers, data room, financial-model narrative — must align to this. Version 2026-10-06 (commission-only Scorpius/SSLC strategy; supersedes 2026-09-21).</w:t>
      </w:r>
    </w:p>
    <w:p>
      <w:pPr>
        <w:spacing w:before="200" w:after="60"/>
      </w:pPr>
      <w:r>
        <w:rPr>
          <w:b/>
          <w:color w:val="F26A21"/>
          <w:sz w:val="30"/>
        </w:rPr>
        <w:t>Massive Transformative Purpose</w:t>
      </w:r>
    </w:p>
    <w:p>
      <w:pPr>
        <w:spacing w:after="80"/>
      </w:pPr>
      <w:r>
        <w:rPr>
          <w:b/>
        </w:rPr>
        <w:t>Make Every Space Vehicle Reusable.</w:t>
      </w:r>
    </w:p>
    <w:p>
      <w:pPr>
        <w:spacing w:after="80"/>
      </w:pPr>
      <w:r>
        <w:rPr>
          <w:b w:val="0"/>
        </w:rPr>
        <w:t>Exos exists to make every space vehicle reusable. True reusability requires structures and fluid-management systems that can repeatedly withstand cryogenic temperatures, pressure cycles, launch loads, long-duration storage, refueling, and operations beyond Earth. Exos provides that enabling foundation through Integrated Pressurized Structures.</w:t>
      </w:r>
    </w:p>
    <w:p>
      <w:pPr>
        <w:spacing w:before="200" w:after="60"/>
      </w:pPr>
      <w:r>
        <w:rPr>
          <w:b/>
          <w:color w:val="F26A21"/>
          <w:sz w:val="28"/>
        </w:rPr>
        <w:t>Integrated Pressurized Structures — the enabling foundation</w:t>
      </w:r>
    </w:p>
    <w:p>
      <w:pPr>
        <w:spacing w:after="80"/>
      </w:pPr>
      <w:r>
        <w:rPr>
          <w:b w:val="0"/>
        </w:rPr>
        <w:t>Integrated Pressurized Structures (IPS) combine pressure vessels, propellant storage, and load-bearing architecture into a simpler, lighter vehicle. Exos's IPS platform integrates Moon-proven, TRL 9 Type V composite cryogenic tanks supplied by our partner Scorpius Space Launch Company (SSLC) — technology that overcame the microcracking limiting reusable composite structures in cryogenic environments. Exos buys these tanks from SSLC and integrates them; Exos does not own or manufacture the Type V tank technology. Applications: repeated cryo loading/reuse, long-duration cryo storage, zero-loss transfer, in-space refueling/depots, reusable launch &amp; reentry, orbital transfer vehicles, lunar systems. SSLC's tanks are the baseline for the Nebula OTV tank set. Exos provides the integration foundation that lets launch providers and spacecraft become lighter, simpler, refillable, and genuinely reusable.</w:t>
      </w:r>
    </w:p>
    <w:p>
      <w:pPr>
        <w:spacing w:before="200" w:after="60"/>
      </w:pPr>
      <w:r>
        <w:rPr>
          <w:b/>
          <w:color w:val="F26A21"/>
          <w:sz w:val="28"/>
        </w:rPr>
        <w:t>Scorpius (SSLC) — Type-V tank supply partner and sales channel</w:t>
      </w:r>
    </w:p>
    <w:p>
      <w:pPr>
        <w:spacing w:after="80"/>
      </w:pPr>
      <w:r>
        <w:rPr>
          <w:b w:val="0"/>
        </w:rPr>
        <w:t>Scorpius Space Launch Company (SSLC) is Exos's Type-V cryogenic tank supply partner and sales channel partner. Exos buys Type-V tanks from SSLC and integrates them into its Integrated Pressurized Structures and vehicles. Exos is also a sales channel for SSLC tank hardware — especially internationally and through the Exos Consortium — and earns a 15% sales commission on SSLC tank hardware it sells. Customers are quoted the same price SSLC quotes directly (no Exos markup). The commission also applies to SSLC sales to Exos, which effectively makes it a 15% rebate on the tanks Exos buys. Exos holds an 18% passive equity stake in SSLC. The commission terms were agreed with SSLC in principle and are being documented in a Sales Commission Agreement now in drafting.</w:t>
      </w:r>
    </w:p>
    <w:p>
      <w:pPr>
        <w:spacing w:after="80"/>
      </w:pPr>
      <w:r>
        <w:rPr>
          <w:b w:val="0"/>
        </w:rPr>
        <w:t>What this replaces: Exos's right of first refusal to acquire the remaining 82% of SSLC has expired and is not part of the strategy. Do not describe Scorpius as an acquisition target, a roll-up target, or consolidated revenue; do not cite an acquisition fairness opinion or a manufacturing license as a dependency. Scorpius is a supply partner and channel in which Exos holds 18% passive equity.</w:t>
      </w:r>
    </w:p>
    <w:p>
      <w:pPr>
        <w:spacing w:before="200" w:after="60"/>
      </w:pPr>
      <w:r>
        <w:rPr>
          <w:b/>
          <w:color w:val="F26A21"/>
          <w:sz w:val="28"/>
        </w:rPr>
        <w:t>Zero-loss cryogenic propellant transfer</w:t>
      </w:r>
    </w:p>
    <w:p>
      <w:pPr>
        <w:spacing w:after="80"/>
      </w:pPr>
      <w:r>
        <w:rPr>
          <w:b w:val="0"/>
        </w:rPr>
        <w:t>With Princeton Cryogenics and David Money, demonstrating transfer of cryogenic propellants between tanks without boiloff/venting loss — enabling in-space refueling, depots, tank-to-tank transfer, reusable OTVs, lunar logistics, and long-duration missions. A vehicle that can be recovered but not efficiently refueled is only partially reusable.</w:t>
      </w:r>
    </w:p>
    <w:p>
      <w:pPr>
        <w:spacing w:before="200" w:after="60"/>
      </w:pPr>
      <w:r>
        <w:rPr>
          <w:b/>
          <w:color w:val="F26A21"/>
          <w:sz w:val="28"/>
        </w:rPr>
        <w:t>Reusable launch as a real-world demonstration</w:t>
      </w:r>
    </w:p>
    <w:p>
      <w:pPr>
        <w:spacing w:after="80"/>
      </w:pPr>
      <w:r>
        <w:rPr>
          <w:b w:val="0"/>
        </w:rPr>
        <w:t>Exos' reusable launch vehicles demonstrate the IPS and related technologies under real flight conditions — built with fewer than 3,000 parts. They provide revenue, a repeatable qualification environment, operational data, a platform for cryo-transfer demos and customer payloads, and a validation pathway for orbital/deep-space systems. Exos may reach orbit through funded customer/government programs; the strategy is not to spend hundreds of millions of debt capital building an orbital vehicle on speculation. Orbital is pursued when customer, mission, and funding justify it.</w:t>
      </w:r>
    </w:p>
    <w:p>
      <w:pPr>
        <w:spacing w:before="200" w:after="60"/>
      </w:pPr>
      <w:r>
        <w:rPr>
          <w:b/>
          <w:color w:val="F26A21"/>
          <w:sz w:val="28"/>
        </w:rPr>
        <w:t>Prove the Systems Before Risking the Orbital Vehicle</w:t>
      </w:r>
    </w:p>
    <w:p>
      <w:pPr>
        <w:spacing w:after="80"/>
      </w:pPr>
      <w:r>
        <w:rPr>
          <w:b w:val="0"/>
        </w:rPr>
        <w:t>An orbital launch attempt risks invested capital, schedules, customer commitments, and reputation. A program may need four to seven attempts to reach first orbital success, with a vehicle worth more than $50 million at stake on each. Exos lets developers learn those lessons earlier on an existing FAA-licensed reusable suborbital vehicle, at a fraction of the cost of risking their complete orbital vehicle.</w:t>
      </w:r>
    </w:p>
    <w:p>
      <w:pPr>
        <w:spacing w:after="80"/>
      </w:pPr>
      <w:r>
        <w:rPr>
          <w:b w:val="0"/>
        </w:rPr>
        <w:t>Developers flight-test avionics, GNC systems, sensors, IMUs, control algorithms, materials, and — with suitable integration and approval — engine experiments; collect data, recover hardware where the mission permits, improve, and fly again. Missions can operate under the Exos name with customer participation kept confidential by agreement. The objective: arrive at the orbital debut with more flight experience, fewer unresolved questions, and a stronger foundation for early success.</w:t>
      </w:r>
    </w:p>
    <w:p>
      <w:pPr>
        <w:pStyle w:val="ListBullet"/>
        <w:spacing w:after="40"/>
      </w:pPr>
      <w:r>
        <w:t>For investors — buy evidence before committing substantially more capital; fund against demonstrated milestones.</w:t>
      </w:r>
    </w:p>
    <w:p>
      <w:pPr>
        <w:pStyle w:val="ListBullet"/>
        <w:spacing w:after="40"/>
      </w:pPr>
      <w:r>
        <w:t>For insurers — flight evidence (test results, anomaly resolution, configuration records) to support underwriting.</w:t>
      </w:r>
    </w:p>
    <w:p>
      <w:pPr>
        <w:spacing w:after="80"/>
      </w:pPr>
      <w:r>
        <w:rPr>
          <w:b w:val="0"/>
        </w:rPr>
        <w:t>Suborbital testing addresses selected risks; complete orbital-system qualification remains necessary. Its value is moving critical learning earlier, when changes are cheaper and public exposure more manageable. This makes reusable launch a commercial service supporting the whole strategy — validating IPS, hosting cryo demonstrations, and helping other developers advance. Exos sells the opportunity to prove more, risk less, and build confidence before orbit — all in service of making every space vehicle reusable.</w:t>
      </w:r>
    </w:p>
    <w:p>
      <w:pPr>
        <w:spacing w:before="200" w:after="60"/>
      </w:pPr>
      <w:r>
        <w:rPr>
          <w:b/>
          <w:color w:val="F26A21"/>
          <w:sz w:val="28"/>
        </w:rPr>
        <w:t>The Exos Consortium</w:t>
      </w:r>
    </w:p>
    <w:p>
      <w:pPr>
        <w:spacing w:after="80"/>
      </w:pPr>
      <w:r>
        <w:rPr>
          <w:b w:val="0"/>
        </w:rPr>
        <w:t>A consortium of specialized aerospace and advanced-manufacturing companies operating as an integrated industrial platform — via JVs, licensing, long-term supply, sales-channel and preferred manufacturing relationships, shared resources, and selective acquisitions where they earn their place. Places underutilized U.S. capacity under long-term, high-volume contracts moving toward automated, lights-out production (~16 hrs/day) — expanding capacity without unnecessary ownership, capital, or risk. SSLC is the Consortium's Type-V tank supply partner, and Exos is SSLC's sales channel for tank hardware — especially to international customers and Consortium programs.</w:t>
      </w:r>
    </w:p>
    <w:p>
      <w:pPr>
        <w:spacing w:before="200" w:after="60"/>
      </w:pPr>
      <w:r>
        <w:rPr>
          <w:b/>
          <w:color w:val="F26A21"/>
          <w:sz w:val="28"/>
        </w:rPr>
        <w:t>AI-native operating platform</w:t>
      </w:r>
    </w:p>
    <w:p>
      <w:pPr>
        <w:spacing w:after="80"/>
      </w:pPr>
      <w:r>
        <w:rPr>
          <w:b w:val="0"/>
        </w:rPr>
        <w:t>Built AI-native, not AI-bolted-on. Engineering, manufacturing, supply-chain, quality, flight, customer, and financial data feed a common intelligence platform that shortens cycles, catches quality issues before failures, improves performance after every mission, optimizes utilization, strengthens supply chain, and matches demand to capacity. Every flight and production run makes the platform more capable.</w:t>
      </w:r>
    </w:p>
    <w:p>
      <w:pPr>
        <w:spacing w:before="200" w:after="60"/>
      </w:pPr>
      <w:r>
        <w:rPr>
          <w:b/>
          <w:color w:val="F26A21"/>
          <w:sz w:val="28"/>
        </w:rPr>
        <w:t>The six reinforcing advantages</w:t>
      </w:r>
    </w:p>
    <w:p>
      <w:pPr>
        <w:pStyle w:val="ListBullet"/>
        <w:spacing w:after="40"/>
      </w:pPr>
      <w:r>
        <w:t>Integrated Pressurized Structures built on Moon-proven, TRL 9 Type V tanks from partner SSLC (Exos: tank integrator, sales channel, and 18% equity holder)</w:t>
      </w:r>
    </w:p>
    <w:p>
      <w:pPr>
        <w:pStyle w:val="ListBullet"/>
        <w:spacing w:after="40"/>
      </w:pPr>
      <w:r>
        <w:t>Zero-loss cryogenic propellant transfer (with Princeton Cryogenics)</w:t>
      </w:r>
    </w:p>
    <w:p>
      <w:pPr>
        <w:pStyle w:val="ListBullet"/>
        <w:spacing w:after="40"/>
      </w:pPr>
      <w:r>
        <w:t>Reusable launch vehicles that validate the tech in real operations</w:t>
      </w:r>
    </w:p>
    <w:p>
      <w:pPr>
        <w:pStyle w:val="ListBullet"/>
        <w:spacing w:after="40"/>
      </w:pPr>
      <w:r>
        <w:t>A consortium model expanding U.S. manufacturing capacity + recurring revenue</w:t>
      </w:r>
    </w:p>
    <w:p>
      <w:pPr>
        <w:pStyle w:val="ListBullet"/>
        <w:spacing w:after="40"/>
      </w:pPr>
      <w:r>
        <w:t>An AI-native platform driving continuous improvement</w:t>
      </w:r>
    </w:p>
    <w:p>
      <w:pPr>
        <w:pStyle w:val="ListBullet"/>
        <w:spacing w:after="40"/>
      </w:pPr>
      <w:r>
        <w:t>Industry-wide demand for lighter, refillable, cryogenic, reusable systems</w:t>
      </w:r>
    </w:p>
    <w:p>
      <w:pPr>
        <w:spacing w:after="80"/>
      </w:pPr>
      <w:r>
        <w:rPr>
          <w:b/>
        </w:rPr>
        <w:t>Exos is building the enabling industrial and technological platform for reusable spaceflight.</w:t>
      </w:r>
    </w:p>
    <w:p>
      <w:pPr>
        <w:spacing w:before="200" w:after="60"/>
      </w:pPr>
      <w:r>
        <w:rPr>
          <w:b/>
          <w:color w:val="17171B"/>
          <w:sz w:val="28"/>
        </w:rPr>
        <w:t>Financial-projections note (for alignment)</w:t>
      </w:r>
    </w:p>
    <w:p>
      <w:pPr>
        <w:spacing w:after="40"/>
      </w:pPr>
      <w:r>
        <w:rPr>
          <w:b w:val="0"/>
        </w:rPr>
        <w:t>The 'Prove the Systems Before Orbit' flight-test service is a recurring, high-margin revenue pillar (orbital developers, plus investor/insurer-driven test campaigns) alongside IPS integration, SSLC tank sales-commission revenue (15% on SSLC tank hardware Exos sells; the same 15% on SSLC tanks Exos buys acts as a rebate that lowers Exos's tank cost), payload services, and consortium partnerships. The model carries no acquisition of SSLC and no consolidated SSLC revenue — only commission revenue, the tank-cost rebate, and the 18% equity stake. Model inputs (price per test campaign, campaigns/year) to be confirmed by John before flight-test is added as a discrete revenue line vs. narrative-only.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