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Exos — Commission-Only SSLC Strategy: Document Rewrite Change Log (2026-10-06)</w:t>
      </w:r>
    </w:p>
    <w:p>
      <w:r>
        <w:t>Strategy (CEO, 2026-10-06): the option to acquire the balance of SSLC has expired. Exos earns a 15% commission on SSLC tank hardware it sells, at SSLC's own price, and on SSLC sales to Exos (effective rebate); keeps 18% passive equity; Sales Commission Agreement in drafting. Figures: drafts/_rofr_rewrite_figures.json (management-prepared). All new files are in drafts/; originals untouched; nothing sent or committed.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b/>
              </w:rPr>
              <w:t>Old file</w:t>
            </w:r>
          </w:p>
        </w:tc>
        <w:tc>
          <w:tcPr>
            <w:tcW w:type="dxa" w:w="3648"/>
          </w:tcPr>
          <w:p>
            <w:r>
              <w:rPr>
                <w:b/>
              </w:rPr>
              <w:t>New file(s)</w:t>
            </w:r>
          </w:p>
        </w:tc>
        <w:tc>
          <w:tcPr>
            <w:tcW w:type="dxa" w:w="3648"/>
          </w:tcPr>
          <w:p>
            <w:r>
              <w:rPr>
                <w:b/>
              </w:rPr>
              <w:t>Key changes</w:t>
            </w:r>
          </w:p>
        </w:tc>
      </w:tr>
      <w:tr>
        <w:tc>
          <w:tcPr>
            <w:tcW w:type="dxa" w:w="3648"/>
          </w:tcPr>
          <w:p>
            <w:r>
              <w:t>Exos_Canonical_Narrative_2026-09-21.docx</w:t>
            </w:r>
          </w:p>
        </w:tc>
        <w:tc>
          <w:tcPr>
            <w:tcW w:type="dxa" w:w="3648"/>
          </w:tcPr>
          <w:p>
            <w:r>
              <w:t>Exos_Canonical_Narrative_CommissionOnly_2026-10-06.docx/.pdf</w:t>
            </w:r>
          </w:p>
        </w:tc>
        <w:tc>
          <w:tcPr>
            <w:tcW w:type="dxa" w:w="3648"/>
          </w:tcPr>
          <w:p>
            <w:r>
              <w:t>IPS reframed: Exos integrates SSLC-supplied Type V tanks (does not own/make them); new SSLC partner/channel section; internal "do not say" guard; consortium + revenue-pillar note now commission/rebate, no consolidation.</w:t>
            </w:r>
          </w:p>
        </w:tc>
      </w:tr>
      <w:tr>
        <w:tc>
          <w:tcPr>
            <w:tcW w:type="dxa" w:w="3648"/>
          </w:tcPr>
          <w:p>
            <w:r>
              <w:t>mission-control/mtp.html (live, untouched)</w:t>
            </w:r>
          </w:p>
        </w:tc>
        <w:tc>
          <w:tcPr>
            <w:tcW w:type="dxa" w:w="3648"/>
          </w:tcPr>
          <w:p>
            <w:r>
              <w:t>mtp_commission_only_2026-10-06.html</w:t>
            </w:r>
          </w:p>
        </w:tc>
        <w:tc>
          <w:tcPr>
            <w:tcW w:type="dxa" w:w="3648"/>
          </w:tcPr>
          <w:p>
            <w:r>
              <w:t>IPS paragraph attributes the tanks to SSLC; new SSLC supply/channel section; acquisitions moved to "selective"; advantage #1 reworded; MTP line kept.</w:t>
            </w:r>
          </w:p>
        </w:tc>
      </w:tr>
      <w:tr>
        <w:tc>
          <w:tcPr>
            <w:tcW w:type="dxa" w:w="3648"/>
          </w:tcPr>
          <w:p>
            <w:r>
              <w:t>Exos_MTP_Protocol_REWRITE_2026-09-20_v2.docx</w:t>
            </w:r>
          </w:p>
        </w:tc>
        <w:tc>
          <w:tcPr>
            <w:tcW w:type="dxa" w:w="3648"/>
          </w:tcPr>
          <w:p>
            <w:r>
              <w:t>Exos_MTP_Protocol_CommissionOnly_2026-10-06.docx/.pdf</w:t>
            </w:r>
          </w:p>
        </w:tc>
        <w:tc>
          <w:tcPr>
            <w:tcW w:type="dxa" w:w="3648"/>
          </w:tcPr>
          <w:p>
            <w:r>
              <w:t>Headline aligned to "Make Every Space Vehicle Reusable"; IPS + "who we are" reframed; BLK3 early 2027 / BLK4 funded-future; new SSLC framing guardrail.</w:t>
            </w:r>
          </w:p>
        </w:tc>
      </w:tr>
      <w:tr>
        <w:tc>
          <w:tcPr>
            <w:tcW w:type="dxa" w:w="3648"/>
          </w:tcPr>
          <w:p>
            <w:r>
              <w:t>Exos_MTP_OnePager_..._2026-09-20.md</w:t>
            </w:r>
          </w:p>
        </w:tc>
        <w:tc>
          <w:tcPr>
            <w:tcW w:type="dxa" w:w="3648"/>
          </w:tcPr>
          <w:p>
            <w:r>
              <w:t>Exos_MTP_OnePager_CommissionOnly_2026-10-06.docx/.pdf</w:t>
            </w:r>
          </w:p>
        </w:tc>
        <w:tc>
          <w:tcPr>
            <w:tcW w:type="dxa" w:w="3648"/>
          </w:tcPr>
          <w:p>
            <w:r>
              <w:t>Rebuilt as a one-page letterhead docx; SSLC tank-partner section; BLK3 early 2027; BLK4 funded-future.</w:t>
            </w:r>
          </w:p>
        </w:tc>
      </w:tr>
      <w:tr>
        <w:tc>
          <w:tcPr>
            <w:tcW w:type="dxa" w:w="3648"/>
          </w:tcPr>
          <w:p>
            <w:r>
              <w:t>Exos_LIVE_Business_Planning_document_25.docx (newest found)</w:t>
            </w:r>
          </w:p>
        </w:tc>
        <w:tc>
          <w:tcPr>
            <w:tcW w:type="dxa" w:w="3648"/>
          </w:tcPr>
          <w:p>
            <w:r>
              <w:t>Exos_Business_Plan_CommissionOnly_2026-10-06.docx/.pdf</w:t>
            </w:r>
          </w:p>
        </w:tc>
        <w:tc>
          <w:tcPr>
            <w:tcW w:type="dxa" w:w="3648"/>
          </w:tcPr>
          <w:p>
            <w:r>
              <w:t>Title and overview no longer about an acquisition; SSLC-supplied tanks; Phases 3–4 marked funded-future; commission/rebate + revenue/EBITDA lines from the model; next action = execute the Sales Commission Agreement. Letterhead.</w:t>
            </w:r>
          </w:p>
        </w:tc>
      </w:tr>
      <w:tr>
        <w:tc>
          <w:tcPr>
            <w:tcW w:type="dxa" w:w="3648"/>
          </w:tcPr>
          <w:p>
            <w:r>
              <w:t>Exos_Strategic_Funding_Ask.html/.pdf</w:t>
            </w:r>
          </w:p>
        </w:tc>
        <w:tc>
          <w:tcPr>
            <w:tcW w:type="dxa" w:w="3648"/>
          </w:tcPr>
          <w:p>
            <w:r>
              <w:t>Exos_Strategic_Funding_Ask_CommissionOnly_2026-10-06.html/.pdf</w:t>
            </w:r>
          </w:p>
        </w:tc>
        <w:tc>
          <w:tcPr>
            <w:tcW w:type="dxa" w:w="3648"/>
          </w:tcPr>
          <w:p>
            <w:r>
              <w:t>SSLC turnaround/acquisition bullet and strike open-item removed; T1 = SSLC tank channel; new use of funds; revision banner.</w:t>
            </w:r>
          </w:p>
        </w:tc>
      </w:tr>
      <w:tr>
        <w:tc>
          <w:tcPr>
            <w:tcW w:type="dxa" w:w="3648"/>
          </w:tcPr>
          <w:p>
            <w:r>
              <w:t>Exos_DIB_Funding_Strategy.html/.pdf</w:t>
            </w:r>
          </w:p>
        </w:tc>
        <w:tc>
          <w:tcPr>
            <w:tcW w:type="dxa" w:w="3648"/>
          </w:tcPr>
          <w:p>
            <w:r>
              <w:t>Exos_DIB_Funding_Strategy_CommissionOnly_2026-10-06.html/.pdf</w:t>
            </w:r>
          </w:p>
        </w:tc>
        <w:tc>
          <w:tcPr>
            <w:tcW w:type="dxa" w:w="3648"/>
          </w:tcPr>
          <w:p>
            <w:r>
              <w:t>Title III/OSC anchor = SSLC-produced, Exos-integrated tank capacity; SSLC line removed from equity use; EIC tables updated; revision banner with use of funds.</w:t>
            </w:r>
          </w:p>
        </w:tc>
      </w:tr>
      <w:tr>
        <w:tc>
          <w:tcPr>
            <w:tcW w:type="dxa" w:w="3648"/>
          </w:tcPr>
          <w:p>
            <w:r>
              <w:t>Exos_504_Equity_Offering_OnePager.docx</w:t>
            </w:r>
          </w:p>
        </w:tc>
        <w:tc>
          <w:tcPr>
            <w:tcW w:type="dxa" w:w="3648"/>
          </w:tcPr>
          <w:p>
            <w:r>
              <w:t>Exos_504_Equity_Offering_OnePager_CommissionOnly_2026-10-06.docx/.pdf</w:t>
            </w:r>
          </w:p>
        </w:tc>
        <w:tc>
          <w:tcPr>
            <w:tcW w:type="dxa" w:w="3648"/>
          </w:tcPr>
          <w:p>
            <w:r>
              <w:t>"Scorpius arbitrage" bullet → SSLC tank partnership (18% + 15% commission/rebate); "only" claim dropped. Letterhead.</w:t>
            </w:r>
          </w:p>
        </w:tc>
      </w:tr>
      <w:tr>
        <w:tc>
          <w:tcPr>
            <w:tcW w:type="dxa" w:w="3648"/>
          </w:tcPr>
          <w:p>
            <w:r>
              <w:t>data-room/.../FIGURES_OF_RECORD.md (read only)</w:t>
            </w:r>
          </w:p>
        </w:tc>
        <w:tc>
          <w:tcPr>
            <w:tcW w:type="dxa" w:w="3648"/>
          </w:tcPr>
          <w:p>
            <w:r>
              <w:t>FIGURES_OF_RECORD_proposed_2026-10-06.docx/.pdf</w:t>
            </w:r>
          </w:p>
        </w:tc>
        <w:tc>
          <w:tcPr>
            <w:tcW w:type="dxa" w:w="3648"/>
          </w:tcPr>
          <w:p>
            <w:r>
              <w:t>Use of funds ($10M/$25M/$15M pipe), revenue &amp; EBITDA FY27–FY31, new SSLC commission row, Scorpius + core-asset rows rewritten. PROPOSED; needs Jon approval.</w:t>
            </w:r>
          </w:p>
        </w:tc>
      </w:tr>
      <w:tr>
        <w:tc>
          <w:tcPr>
            <w:tcW w:type="dxa" w:w="3648"/>
          </w:tcPr>
          <w:p>
            <w:r>
              <w:t>Exos_Ainigma_RTO_Progress_2026-09-19.docx (source of dataroom PDF)</w:t>
            </w:r>
          </w:p>
        </w:tc>
        <w:tc>
          <w:tcPr>
            <w:tcW w:type="dxa" w:w="3648"/>
          </w:tcPr>
          <w:p>
            <w:r>
              <w:t>Exos_Ainigma_RTO_Progress_CommissionOnly_2026-10-06.docx/.pdf</w:t>
            </w:r>
          </w:p>
        </w:tc>
        <w:tc>
          <w:tcPr>
            <w:tcW w:type="dxa" w:w="3648"/>
          </w:tcPr>
          <w:p>
            <w:r>
              <w:t>The "first acquisition / $3.3M / year-end close" lines replaced with dated [updated 2026-10-06] notes; standing condition now protects 18% + channel. Letterhead.</w:t>
            </w:r>
          </w:p>
        </w:tc>
      </w:tr>
      <w:tr>
        <w:tc>
          <w:tcPr>
            <w:tcW w:type="dxa" w:w="3648"/>
          </w:tcPr>
          <w:p>
            <w:r>
              <w:t>Exos_Investor_OnePager_Tank_2026-09-19.docx</w:t>
            </w:r>
          </w:p>
        </w:tc>
        <w:tc>
          <w:tcPr>
            <w:tcW w:type="dxa" w:w="3648"/>
          </w:tcPr>
          <w:p>
            <w:r>
              <w:t>Exos_Investor_OnePager_Tank_CommissionOnly_2026-10-06.docx/.pdf</w:t>
            </w:r>
          </w:p>
        </w:tc>
        <w:tc>
          <w:tcPr>
            <w:tcW w:type="dxa" w:w="3648"/>
          </w:tcPr>
          <w:p>
            <w:r>
              <w:t>"Exos owns the tank", "IBM of tanks", 55% margin, consolidation and arbitrage lines removed; SSLC channel framing. Letterhead.</w:t>
            </w:r>
          </w:p>
        </w:tc>
      </w:tr>
      <w:tr>
        <w:tc>
          <w:tcPr>
            <w:tcW w:type="dxa" w:w="3648"/>
          </w:tcPr>
          <w:p>
            <w:r>
              <w:t>Exos_Investor_Deck_2026-09-19.pptx (dataroom copy identical)</w:t>
            </w:r>
          </w:p>
        </w:tc>
        <w:tc>
          <w:tcPr>
            <w:tcW w:type="dxa" w:w="3648"/>
          </w:tcPr>
          <w:p>
            <w:r>
              <w:t>Exos_Investor_Deck_CommissionOnly_2026-10-06.pptx</w:t>
            </w:r>
          </w:p>
        </w:tc>
        <w:tc>
          <w:tcPr>
            <w:tcW w:type="dxa" w:w="3648"/>
          </w:tcPr>
          <w:p>
            <w:r>
              <w:t>Text-only edits on 10 slides: title = MTP; tanks attributed to SSLC; moat/business model/ask/return/team rewritten; revenue bridge + use of proceeds from the model; BLK3 = early 2027. Images/layout kept. python-pptx check: 0 hits.</w:t>
            </w:r>
          </w:p>
        </w:tc>
      </w:tr>
    </w:tbl>
    <w:p>
      <w:r>
        <w:t>Found, not rewritten (list for follow-up): Napier Park facility deck v2–v5 + term sheet v2–v4 (in active edit today); Investor Update Issue 14 Rev1; September 2026 Investor Update (FINAL, already issued); FNEX PIPE Scenarios/License Path, Downside/License Path, and 9-29 markup responses; Board Advisory SSLC options (10-06); SSLC Board Package 10-02/10-06 and the e-sign set (ROFR Reinstatement/Extension, Manufacturing License, Exclusivity Consent, Board Resolutions); Annual Board Agenda 10-06; UpLink LaunchPad pitch v2; Japan IDJ pitch HTML v5/v6; Japan KK one-pager; OSC Part 1 concept; SpaceWERX strategy; CryoTransfer demo proposal; Series A strategic/master decks (Aug–Sep); Exos_PitchDeck_FULL_canonical_2026-09-11; DIB deck/teaser 09-17; Navy Commission decks; Ainigma RTO strategy/conditions/board-answer docs; Eqvista correspondence; Gap-plays register; the Exos_Figures_of_Record_2026-08-13.docx copy.</w:t>
      </w:r>
    </w:p>
    <w:p>
      <w:r>
        <w:t>Jon decisions: (1) approve proposed Figures of Record (Y5 revenue becomes ~$103.6M base vs the prior ~$121.6M conservative case; these may not be like-for-like); (2) withdraw/supersede the SSLC ROFR-reinstatement e-sign package; (3) whether external docs may cite the 15% terms before the agreement is signed; (4) 409A refresh; (5) the SSLC board-seat/"financial control" claim was removed from the deck as inconsistent with passive equity — confirm; (6) business plan still shows FY2025 actuals from Form 1120 ($1.49M) vs the Figures of Record ($1.55M) — this was not changed.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