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Exos — Commission-Only Model &amp; Budget Change Memo (2026-10-06)</w:t>
      </w:r>
    </w:p>
    <w:p>
      <w:r>
        <w:t>Management-prepared projections; not audited. Draft for Jon's review — not published to the data room.</w:t>
      </w:r>
    </w:p>
    <w:p>
      <w:pPr>
        <w:pStyle w:val="Heading2"/>
      </w:pPr>
      <w:r>
        <w:t>What changed</w:t>
      </w:r>
    </w:p>
    <w:p>
      <w:pPr>
        <w:pStyle w:val="ListBullet"/>
      </w:pPr>
      <w:r>
        <w:t>Scorpius ROFR expired: removed consolidated SSLC tank revenue, SSLC-related propulsion-line sales, Scorpius COGS, and ~14-19 Scorpius design-engineer FTEs (kept 1 Exos FTE).</w:t>
      </w:r>
    </w:p>
    <w:p>
      <w:pPr>
        <w:pStyle w:val="ListBullet"/>
      </w:pPr>
      <w:r>
        <w:t>Added 'SSLC sales commission (15%)' revenue line driven by Assumptions tab inputs (rate, Exos-originated 3rd-party SSLC sales, Exos's own SSLC purchases).</w:t>
      </w:r>
    </w:p>
    <w:p>
      <w:pPr>
        <w:pStyle w:val="ListBullet"/>
      </w:pPr>
      <w:r>
        <w:t>15% commission on Exos's own SSLC tank purchases modeled as a rebate credit in COS (lowers BLK3/BLK4 tank cost) rather than revenue.</w:t>
      </w:r>
    </w:p>
    <w:p>
      <w:pPr>
        <w:pStyle w:val="ListBullet"/>
      </w:pPr>
      <w:r>
        <w:t>Full Intuitive Machines book (~$5M firm CY2027) shown only as a labeled upside sensitivity, not in base.</w:t>
      </w:r>
    </w:p>
    <w:p>
      <w:pPr>
        <w:pStyle w:val="ListBullet"/>
      </w:pPr>
      <w:r>
        <w:t>18% SSLC stake relabeled 'Investment in SSLC (18% passive equity, at cost)' — $790K, not marked up.</w:t>
      </w:r>
    </w:p>
    <w:p>
      <w:pPr>
        <w:pStyle w:val="ListBullet"/>
      </w:pPr>
      <w:r>
        <w:t>$3.4M ROFR use of funds reallocated; FNEX v8 annotates PIPE narrative only (fee/dilution untouched).</w:t>
      </w:r>
    </w:p>
    <w:p>
      <w:pPr>
        <w:pStyle w:val="ListBullet"/>
      </w:pPr>
      <w:r>
        <w:t>Static 'Cash Flow Projections' and 'Valuation Summary' DCF tables flagged STALE (pre-change case). 409A of record ($169.7M) unchanged.</w:t>
      </w:r>
    </w:p>
    <w:p>
      <w:pPr>
        <w:pStyle w:val="Heading2"/>
      </w:pPr>
      <w:r>
        <w:t>Old vs new (USD)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Revenue old</w:t>
            </w:r>
          </w:p>
        </w:tc>
        <w:tc>
          <w:tcPr>
            <w:tcW w:type="dxa" w:w="1728"/>
          </w:tcPr>
          <w:p>
            <w:r>
              <w:t>Revenue new</w:t>
            </w:r>
          </w:p>
        </w:tc>
        <w:tc>
          <w:tcPr>
            <w:tcW w:type="dxa" w:w="1728"/>
          </w:tcPr>
          <w:p>
            <w:r>
              <w:t>EBITDA old</w:t>
            </w:r>
          </w:p>
        </w:tc>
        <w:tc>
          <w:tcPr>
            <w:tcW w:type="dxa" w:w="1728"/>
          </w:tcPr>
          <w:p>
            <w:r>
              <w:t>EBITDA new</w:t>
            </w:r>
          </w:p>
        </w:tc>
      </w:tr>
      <w:tr>
        <w:tc>
          <w:tcPr>
            <w:tcW w:type="dxa" w:w="1728"/>
          </w:tcPr>
          <w:p>
            <w:r>
              <w:t>Year 1 (FY Jul26-Jun27)</w:t>
            </w:r>
          </w:p>
        </w:tc>
        <w:tc>
          <w:tcPr>
            <w:tcW w:type="dxa" w:w="1728"/>
          </w:tcPr>
          <w:p>
            <w:r>
              <w:t>$8.88M</w:t>
            </w:r>
          </w:p>
        </w:tc>
        <w:tc>
          <w:tcPr>
            <w:tcW w:type="dxa" w:w="1728"/>
          </w:tcPr>
          <w:p>
            <w:r>
              <w:t>$3.86M</w:t>
            </w:r>
          </w:p>
        </w:tc>
        <w:tc>
          <w:tcPr>
            <w:tcW w:type="dxa" w:w="1728"/>
          </w:tcPr>
          <w:p>
            <w:r>
              <w:t>$1.12M</w:t>
            </w:r>
          </w:p>
        </w:tc>
        <w:tc>
          <w:tcPr>
            <w:tcW w:type="dxa" w:w="1728"/>
          </w:tcPr>
          <w:p>
            <w:r>
              <w:t>$-0.56M</w:t>
            </w:r>
          </w:p>
        </w:tc>
      </w:tr>
      <w:tr>
        <w:tc>
          <w:tcPr>
            <w:tcW w:type="dxa" w:w="1728"/>
          </w:tcPr>
          <w:p>
            <w:r>
              <w:t>Year 2 (FY Jul27-Jun28)</w:t>
            </w:r>
          </w:p>
        </w:tc>
        <w:tc>
          <w:tcPr>
            <w:tcW w:type="dxa" w:w="1728"/>
          </w:tcPr>
          <w:p>
            <w:r>
              <w:t>$21.35M</w:t>
            </w:r>
          </w:p>
        </w:tc>
        <w:tc>
          <w:tcPr>
            <w:tcW w:type="dxa" w:w="1728"/>
          </w:tcPr>
          <w:p>
            <w:r>
              <w:t>$9.20M</w:t>
            </w:r>
          </w:p>
        </w:tc>
        <w:tc>
          <w:tcPr>
            <w:tcW w:type="dxa" w:w="1728"/>
          </w:tcPr>
          <w:p>
            <w:r>
              <w:t>$4.12M</w:t>
            </w:r>
          </w:p>
        </w:tc>
        <w:tc>
          <w:tcPr>
            <w:tcW w:type="dxa" w:w="1728"/>
          </w:tcPr>
          <w:p>
            <w:r>
              <w:t>$-1.12M</w:t>
            </w:r>
          </w:p>
        </w:tc>
      </w:tr>
      <w:tr>
        <w:tc>
          <w:tcPr>
            <w:tcW w:type="dxa" w:w="1728"/>
          </w:tcPr>
          <w:p>
            <w:r>
              <w:t>Year 3 (FY Jul28-Jun29)</w:t>
            </w:r>
          </w:p>
        </w:tc>
        <w:tc>
          <w:tcPr>
            <w:tcW w:type="dxa" w:w="1728"/>
          </w:tcPr>
          <w:p>
            <w:r>
              <w:t>$48.59M</w:t>
            </w:r>
          </w:p>
        </w:tc>
        <w:tc>
          <w:tcPr>
            <w:tcW w:type="dxa" w:w="1728"/>
          </w:tcPr>
          <w:p>
            <w:r>
              <w:t>$24.20M</w:t>
            </w:r>
          </w:p>
        </w:tc>
        <w:tc>
          <w:tcPr>
            <w:tcW w:type="dxa" w:w="1728"/>
          </w:tcPr>
          <w:p>
            <w:r>
              <w:t>$17.24M</w:t>
            </w:r>
          </w:p>
        </w:tc>
        <w:tc>
          <w:tcPr>
            <w:tcW w:type="dxa" w:w="1728"/>
          </w:tcPr>
          <w:p>
            <w:r>
              <w:t>$4.73M</w:t>
            </w:r>
          </w:p>
        </w:tc>
      </w:tr>
      <w:tr>
        <w:tc>
          <w:tcPr>
            <w:tcW w:type="dxa" w:w="1728"/>
          </w:tcPr>
          <w:p>
            <w:r>
              <w:t>Year 4 (FY Jul29-Jun30)</w:t>
            </w:r>
          </w:p>
        </w:tc>
        <w:tc>
          <w:tcPr>
            <w:tcW w:type="dxa" w:w="1728"/>
          </w:tcPr>
          <w:p>
            <w:r>
              <w:t>$95.92M</w:t>
            </w:r>
          </w:p>
        </w:tc>
        <w:tc>
          <w:tcPr>
            <w:tcW w:type="dxa" w:w="1728"/>
          </w:tcPr>
          <w:p>
            <w:r>
              <w:t>$51.65M</w:t>
            </w:r>
          </w:p>
        </w:tc>
        <w:tc>
          <w:tcPr>
            <w:tcW w:type="dxa" w:w="1728"/>
          </w:tcPr>
          <w:p>
            <w:r>
              <w:t>$42.16M</w:t>
            </w:r>
          </w:p>
        </w:tc>
        <w:tc>
          <w:tcPr>
            <w:tcW w:type="dxa" w:w="1728"/>
          </w:tcPr>
          <w:p>
            <w:r>
              <w:t>$16.06M</w:t>
            </w:r>
          </w:p>
        </w:tc>
      </w:tr>
      <w:tr>
        <w:tc>
          <w:tcPr>
            <w:tcW w:type="dxa" w:w="1728"/>
          </w:tcPr>
          <w:p>
            <w:r>
              <w:t>Year 5 (FY Jul30-Jun31)</w:t>
            </w:r>
          </w:p>
        </w:tc>
        <w:tc>
          <w:tcPr>
            <w:tcW w:type="dxa" w:w="1728"/>
          </w:tcPr>
          <w:p>
            <w:r>
              <w:t>$179.19M</w:t>
            </w:r>
          </w:p>
        </w:tc>
        <w:tc>
          <w:tcPr>
            <w:tcW w:type="dxa" w:w="1728"/>
          </w:tcPr>
          <w:p>
            <w:r>
              <w:t>$103.65M</w:t>
            </w:r>
          </w:p>
        </w:tc>
        <w:tc>
          <w:tcPr>
            <w:tcW w:type="dxa" w:w="1728"/>
          </w:tcPr>
          <w:p>
            <w:r>
              <w:t>$101.61M</w:t>
            </w:r>
          </w:p>
        </w:tc>
        <w:tc>
          <w:tcPr>
            <w:tcW w:type="dxa" w:w="1728"/>
          </w:tcPr>
          <w:p>
            <w:r>
              <w:t>$55.86M</w:t>
            </w:r>
          </w:p>
        </w:tc>
      </w:tr>
      <w:tr>
        <w:tc>
          <w:tcPr>
            <w:tcW w:type="dxa" w:w="1728"/>
          </w:tcPr>
          <w:p>
            <w:r>
              <w:t>5-yr total</w:t>
            </w:r>
          </w:p>
        </w:tc>
        <w:tc>
          <w:tcPr>
            <w:tcW w:type="dxa" w:w="1728"/>
          </w:tcPr>
          <w:p>
            <w:r>
              <w:t>$353.92M</w:t>
            </w:r>
          </w:p>
        </w:tc>
        <w:tc>
          <w:tcPr>
            <w:tcW w:type="dxa" w:w="1728"/>
          </w:tcPr>
          <w:p>
            <w:r>
              <w:t>$192.56M</w:t>
            </w:r>
          </w:p>
        </w:tc>
        <w:tc>
          <w:tcPr>
            <w:tcW w:type="dxa" w:w="1728"/>
          </w:tcPr>
          <w:p>
            <w:r>
              <w:t>$166.24M</w:t>
            </w:r>
          </w:p>
        </w:tc>
        <w:tc>
          <w:tcPr>
            <w:tcW w:type="dxa" w:w="1728"/>
          </w:tcPr>
          <w:p>
            <w:r>
              <w:t>$74.98M</w:t>
            </w:r>
          </w:p>
        </w:tc>
      </w:tr>
    </w:tbl>
    <w:p>
      <w:r>
        <w:t>Commission economics (rev + rebate) by year: $0.07M, $0.13M, $0.21M, $0.29M, $0.38M. IM-book upside (memo): $0.38M, $0.75M, $0.90M, $1.05M, $1.20M.</w:t>
      </w:r>
    </w:p>
    <w:p>
      <w:pPr>
        <w:pStyle w:val="Heading2"/>
      </w:pPr>
      <w:r>
        <w:t>Use of funds (proposed)</w:t>
      </w:r>
    </w:p>
    <w:p>
      <w:pPr>
        <w:pStyle w:val="ListBullet"/>
      </w:pPr>
      <w:r>
        <w:t>$10M first close: was ROFR $3.4M / RDRE-TACFI $4.1M / BLK3 $2.5M -&gt; now RDRE-TACFI $4.1M / BLK3 to flight $3.4M / BLK4-HVRR long-lead $1.0M / WC-Part 450-contingency $1.5M.</w:t>
      </w:r>
    </w:p>
    <w:p>
      <w:pPr>
        <w:pStyle w:val="ListBullet"/>
      </w:pPr>
      <w:r>
        <w:t>$25M cumulative: was ROFR $3.4M + RDRE $8.0M + BLK3 $2.5M + BLK4 $9.0M + WC $4.6M (= $27.5M, inconsistent with $25M headline) -&gt; now RDRE $8.0M + BLK3 $3.4M + BLK4 $9.0M + WC $4.6M = $25.0M.</w:t>
      </w:r>
    </w:p>
    <w:p>
      <w:pPr>
        <w:pStyle w:val="ListBullet"/>
      </w:pPr>
      <w:r>
        <w:t>FNEX PIPE ~$15M: was $10M Scorpius acquisition -&gt; now 7% fee $1.05M (unchanged) / RDRE-TACFI $4.1M / BLK3 $3.4M / BLK4-HVRR $3.5M / WC-Part 450-public-co $2.95M.</w:t>
      </w:r>
    </w:p>
    <w:p>
      <w:pPr>
        <w:pStyle w:val="Heading2"/>
      </w:pPr>
      <w:r>
        <w:t>Open assumptions for Jon</w:t>
      </w:r>
    </w:p>
    <w:p>
      <w:pPr>
        <w:pStyle w:val="ListBullet"/>
      </w:pPr>
      <w:r>
        <w:t>Assumptions!B34 (15% rate)</w:t>
      </w:r>
    </w:p>
    <w:p>
      <w:pPr>
        <w:pStyle w:val="ListBullet"/>
      </w:pPr>
      <w:r>
        <w:t>Assumptions!B36:F36 Exos-originated 3rd-party SSLC sales [0,250K,500K,750K,1.0M]</w:t>
      </w:r>
    </w:p>
    <w:p>
      <w:pPr>
        <w:pStyle w:val="ListBullet"/>
      </w:pPr>
      <w:r>
        <w:t>Assumptions!B37:F37 Exos SSLC purchases [454K,600K,900K,1.2M,1.5M]</w:t>
      </w:r>
    </w:p>
    <w:p>
      <w:pPr>
        <w:pStyle w:val="ListBullet"/>
      </w:pPr>
      <w:r>
        <w:t>Assumptions!B43:F43 IM-book upside sensitivity [2.5M,5M,6M,7M,8M] (memo only)</w:t>
      </w:r>
    </w:p>
    <w:p>
      <w:pPr>
        <w:pStyle w:val="ListBullet"/>
      </w:pPr>
      <w:r>
        <w:t>Payroll Assumptions!row 21 (Scorpius design engineers 15-20 FTE -&gt; 1 Exos FTE)</w:t>
      </w:r>
    </w:p>
    <w:p>
      <w:pPr>
        <w:pStyle w:val="ListBullet"/>
      </w:pPr>
      <w:r>
        <w:t>Funding Ask!B8 ($3.4M reallocation)</w:t>
      </w:r>
    </w:p>
    <w:p>
      <w:pPr>
        <w:pStyle w:val="ListBullet"/>
      </w:pPr>
      <w:r>
        <w:t>Use of Funds (ROFR rewrite)! column C new allocations</w:t>
      </w:r>
    </w:p>
    <w:p>
      <w:pPr>
        <w:pStyle w:val="ListBullet"/>
      </w:pPr>
      <w:r>
        <w:t>Which SSLC sales count as Exos-originated (unknown; base = intl pipeline only).</w:t>
      </w:r>
    </w:p>
    <w:p>
      <w:pPr>
        <w:pStyle w:val="ListBullet"/>
      </w:pPr>
      <w:r>
        <w:t>Whether $790K is the correct cost basis of the 18% SSLC stake.</w:t>
      </w:r>
    </w:p>
    <w:p>
      <w:pPr>
        <w:pStyle w:val="ListBullet"/>
      </w:pPr>
      <w:r>
        <w:t>FIGURES_OF_RECORD.md and the 5-yr Y5 revenue of record (~$121.6M) need updating after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