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Exos — Figures of Record (PROPOSED replacement, 2026-10-06)</w:t>
      </w:r>
    </w:p>
    <w:p>
      <w:r>
        <w:t>PROPOSED — not locked. Replaces data-room/Exos_SeriesA/FIGURES_OF_RECORD.md (locked 2026-08-13) for the commission-only Scorpius/SSLC strategy (CEO decision 2026-10-06). Figures from drafts/_rofr_rewrite_figures.json (model: drafts/EXOS_Financial_Model_CommissionOnly_v13_2026-10-06.xlsx). Requires Jon's approval before the data-room file is updated. Changed rows marked [CHANGED].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504"/>
          </w:tcPr>
          <w:p>
            <w:r>
              <w:rPr>
                <w:b/>
              </w:rPr>
              <w:t>Value of record</w:t>
            </w:r>
          </w:p>
        </w:tc>
        <w:tc>
          <w:tcPr>
            <w:tcW w:type="dxa" w:w="3504"/>
          </w:tcPr>
          <w:p>
            <w:r>
              <w:rPr>
                <w:b/>
              </w:rPr>
              <w:t>Notes / never say</w:t>
            </w:r>
          </w:p>
        </w:tc>
      </w:tr>
      <w:tr>
        <w:tc>
          <w:tcPr>
            <w:tcW w:type="dxa" w:w="3504"/>
          </w:tcPr>
          <w:p>
            <w:r>
              <w:t>Raise size</w:t>
            </w:r>
          </w:p>
        </w:tc>
        <w:tc>
          <w:tcPr>
            <w:tcW w:type="dxa" w:w="3504"/>
          </w:tcPr>
          <w:p>
            <w:r>
              <w:t>$10M first close, within a tranched raise up to $25M</w:t>
            </w:r>
          </w:p>
        </w:tc>
        <w:tc>
          <w:tcPr>
            <w:tcW w:type="dxa" w:w="3504"/>
          </w:tcPr>
          <w:p>
            <w:r>
              <w:t>Unchanged</w:t>
            </w:r>
          </w:p>
        </w:tc>
      </w:tr>
      <w:tr>
        <w:tc>
          <w:tcPr>
            <w:tcW w:type="dxa" w:w="3504"/>
          </w:tcPr>
          <w:p>
            <w:r>
              <w:t>Use of funds — $10M first close [CHANGED]</w:t>
            </w:r>
          </w:p>
        </w:tc>
        <w:tc>
          <w:tcPr>
            <w:tcW w:type="dxa" w:w="3504"/>
          </w:tcPr>
          <w:p>
            <w:r>
              <w:t>RDRE/TACFI match $4.1M · BLK3 build/to flight $3.4M · BLK4/HVRR long-lead $1.0M · Working capital/Part 450/contingency $1.5M</w:t>
            </w:r>
          </w:p>
        </w:tc>
        <w:tc>
          <w:tcPr>
            <w:tcW w:type="dxa" w:w="3504"/>
          </w:tcPr>
          <w:p>
            <w:r>
              <w:t>Former Scorpius line ($3.4M) reallocated: +$0.9M BLK3, +$1.0M BLK4/HVRR long-lead, +$1.5M WC/Part 450/contingency. No SSLC purchase line.</w:t>
            </w:r>
          </w:p>
        </w:tc>
      </w:tr>
      <w:tr>
        <w:tc>
          <w:tcPr>
            <w:tcW w:type="dxa" w:w="3504"/>
          </w:tcPr>
          <w:p>
            <w:r>
              <w:t>Use of funds — $25M cumulative [CHANGED]</w:t>
            </w:r>
          </w:p>
        </w:tc>
        <w:tc>
          <w:tcPr>
            <w:tcW w:type="dxa" w:w="3504"/>
          </w:tcPr>
          <w:p>
            <w:r>
              <w:t>RDRE $8.0M · BLK3 $3.4M · BLK4 $9.0M · WC/Part450/contingency $4.6M</w:t>
            </w:r>
          </w:p>
        </w:tc>
        <w:tc>
          <w:tcPr>
            <w:tcW w:type="dxa" w:w="3504"/>
          </w:tcPr>
          <w:p>
            <w:r>
              <w:t>Sums to $25.0M (old lines summed to $27.5M). BLK4 = funded-future, lives in the expansion.</w:t>
            </w:r>
          </w:p>
        </w:tc>
      </w:tr>
      <w:tr>
        <w:tc>
          <w:tcPr>
            <w:tcW w:type="dxa" w:w="3504"/>
          </w:tcPr>
          <w:p>
            <w:r>
              <w:t>Use of funds — $15M FNEX pipe [CHANGED]</w:t>
            </w:r>
          </w:p>
        </w:tc>
        <w:tc>
          <w:tcPr>
            <w:tcW w:type="dxa" w:w="3504"/>
          </w:tcPr>
          <w:p>
            <w:r>
              <w:t>FNEX 7% fee (unchanged) $1.05M · RDRE/TACFI match $4.1M · BLK3 to flight $3.4M · BLK4/HVRR $3.5M · WC/Part450/public-co costs $2.95M</w:t>
            </w:r>
          </w:p>
        </w:tc>
        <w:tc>
          <w:tcPr>
            <w:tcW w:type="dxa" w:w="3504"/>
          </w:tcPr>
          <w:p>
            <w:r>
              <w:t>Replaces the former $10M SSLC line in the pipe.</w:t>
            </w:r>
          </w:p>
        </w:tc>
      </w:tr>
      <w:tr>
        <w:tc>
          <w:tcPr>
            <w:tcW w:type="dxa" w:w="3504"/>
          </w:tcPr>
          <w:p>
            <w:r>
              <w:t>Valuation</w:t>
            </w:r>
          </w:p>
        </w:tc>
        <w:tc>
          <w:tcPr>
            <w:tcW w:type="dxa" w:w="3504"/>
          </w:tcPr>
          <w:p>
            <w:r>
              <w:t>$169.7M equity (Eqvista 409A, 03/31/26; $8.66/share; DLOM 36.51%)</w:t>
            </w:r>
          </w:p>
        </w:tc>
        <w:tc>
          <w:tcPr>
            <w:tcW w:type="dxa" w:w="3504"/>
          </w:tcPr>
          <w:p>
            <w:r>
              <w:t>Unchanged pending Jon/409A provider review (see open item).</w:t>
            </w:r>
          </w:p>
        </w:tc>
      </w:tr>
      <w:tr>
        <w:tc>
          <w:tcPr>
            <w:tcW w:type="dxa" w:w="3504"/>
          </w:tcPr>
          <w:p>
            <w:r>
              <w:t>FY2025 actuals</w:t>
            </w:r>
          </w:p>
        </w:tc>
        <w:tc>
          <w:tcPr>
            <w:tcW w:type="dxa" w:w="3504"/>
          </w:tcPr>
          <w:p>
            <w:r>
              <w:t>Revenue $1.55M · EBITDA $0.26M (17%) · Net income $0.20M</w:t>
            </w:r>
          </w:p>
        </w:tc>
        <w:tc>
          <w:tcPr>
            <w:tcW w:type="dxa" w:w="3504"/>
          </w:tcPr>
          <w:p>
            <w:r>
              <w:t>"Management-prepared" — never "audited". Unchanged.</w:t>
            </w:r>
          </w:p>
        </w:tc>
      </w:tr>
      <w:tr>
        <w:tc>
          <w:tcPr>
            <w:tcW w:type="dxa" w:w="3504"/>
          </w:tcPr>
          <w:p>
            <w:r>
              <w:t>Projections — revenue [CHANGED]</w:t>
            </w:r>
          </w:p>
        </w:tc>
        <w:tc>
          <w:tcPr>
            <w:tcW w:type="dxa" w:w="3504"/>
          </w:tcPr>
          <w:p>
            <w:r>
              <w:t>FY27 $3.9M · FY28 $9.2M · FY29 $24.2M · FY30 $51.6M · FY31 $103.6M</w:t>
            </w:r>
          </w:p>
        </w:tc>
        <w:tc>
          <w:tcPr>
            <w:tcW w:type="dxa" w:w="3504"/>
          </w:tcPr>
          <w:p>
            <w:r>
              <w:t>Fiscal years run July–June (FY27 = Jul 2026–Jun 2027). Management-prepared projections; not audited. Y5 (FY31) ≈ $103.6M replaces "~$121.6M".</w:t>
            </w:r>
          </w:p>
        </w:tc>
      </w:tr>
      <w:tr>
        <w:tc>
          <w:tcPr>
            <w:tcW w:type="dxa" w:w="3504"/>
          </w:tcPr>
          <w:p>
            <w:r>
              <w:t>Projections — EBITDA [CHANGED]</w:t>
            </w:r>
          </w:p>
        </w:tc>
        <w:tc>
          <w:tcPr>
            <w:tcW w:type="dxa" w:w="3504"/>
          </w:tcPr>
          <w:p>
            <w:r>
              <w:t>FY27 -$561K · FY28 -$1.1M · FY29 $4.7M · FY30 $16.1M · FY31 $55.9M</w:t>
            </w:r>
          </w:p>
        </w:tc>
        <w:tc>
          <w:tcPr>
            <w:tcW w:type="dxa" w:w="3504"/>
          </w:tcPr>
          <w:p>
            <w:r>
              <w:t>Management-prepared.</w:t>
            </w:r>
          </w:p>
        </w:tc>
      </w:tr>
      <w:tr>
        <w:tc>
          <w:tcPr>
            <w:tcW w:type="dxa" w:w="3504"/>
          </w:tcPr>
          <w:p>
            <w:r>
              <w:t>SSLC commission economics [NEW]</w:t>
            </w:r>
          </w:p>
        </w:tc>
        <w:tc>
          <w:tcPr>
            <w:tcW w:type="dxa" w:w="3504"/>
          </w:tcPr>
          <w:p>
            <w:r>
              <w:t>Commission on Exos-sold SSLC tanks: FY27 $0 · FY28 $37.5K · FY29 $75K · FY30 $113K · FY31 $150K. Rebate on SSLC tanks Exos buys (contra cost of sales): FY27 $68.1K · FY28 $90K · FY29 $135K · FY30 $180K · FY31 $225K. Total: FY27 $68.1K · FY28 $128K · FY29 $210K · FY30 $293K · FY31 $375K.</w:t>
            </w:r>
          </w:p>
        </w:tc>
        <w:tc>
          <w:tcPr>
            <w:tcW w:type="dxa" w:w="3504"/>
          </w:tcPr>
          <w:p>
            <w:r>
              <w:t>15% rate; customer pays SSLC's own price (no markup). Upside if Exos books the full IM tank book is NOT in the base case.</w:t>
            </w:r>
          </w:p>
        </w:tc>
      </w:tr>
      <w:tr>
        <w:tc>
          <w:tcPr>
            <w:tcW w:type="dxa" w:w="3504"/>
          </w:tcPr>
          <w:p>
            <w:r>
              <w:t>Per-flight price</w:t>
            </w:r>
          </w:p>
        </w:tc>
        <w:tc>
          <w:tcPr>
            <w:tcW w:type="dxa" w:w="3504"/>
          </w:tcPr>
          <w:p>
            <w:r>
              <w:t>$1.0M (135 kg @ $7,500/kg; OSP-4 $1,017,500)</w:t>
            </w:r>
          </w:p>
        </w:tc>
        <w:tc>
          <w:tcPr>
            <w:tcW w:type="dxa" w:w="3504"/>
          </w:tcPr>
          <w:p>
            <w:r>
              <w:t>Unchanged</w:t>
            </w:r>
          </w:p>
        </w:tc>
      </w:tr>
      <w:tr>
        <w:tc>
          <w:tcPr>
            <w:tcW w:type="dxa" w:w="3504"/>
          </w:tcPr>
          <w:p>
            <w:r>
              <w:t>Turnaround</w:t>
            </w:r>
          </w:p>
        </w:tc>
        <w:tc>
          <w:tcPr>
            <w:tcW w:type="dxa" w:w="3504"/>
          </w:tcPr>
          <w:p>
            <w:r>
              <w:t>OSP-4 catalog: 3 days; 2-flight/48-hour = proposed under Project KARMEN, not demonstrated</w:t>
            </w:r>
          </w:p>
        </w:tc>
        <w:tc>
          <w:tcPr>
            <w:tcW w:type="dxa" w:w="3504"/>
          </w:tcPr>
          <w:p>
            <w:r>
              <w:t>Unchanged</w:t>
            </w:r>
          </w:p>
        </w:tc>
      </w:tr>
      <w:tr>
        <w:tc>
          <w:tcPr>
            <w:tcW w:type="dxa" w:w="3504"/>
          </w:tcPr>
          <w:p>
            <w:r>
              <w:t>Flight status</w:t>
            </w:r>
          </w:p>
        </w:tc>
        <w:tc>
          <w:tcPr>
            <w:tcW w:type="dxa" w:w="3504"/>
          </w:tcPr>
          <w:p>
            <w:r>
              <w:t>SARGE flew 4 missions; BLK3 FAA-licensed + hover-demonstrated, not yet flown commercially; first commercial flight targeted early 2027</w:t>
            </w:r>
          </w:p>
        </w:tc>
        <w:tc>
          <w:tcPr>
            <w:tcW w:type="dxa" w:w="3504"/>
          </w:tcPr>
          <w:p>
            <w:r>
              <w:t>Unchanged</w:t>
            </w:r>
          </w:p>
        </w:tc>
      </w:tr>
      <w:tr>
        <w:tc>
          <w:tcPr>
            <w:tcW w:type="dxa" w:w="3504"/>
          </w:tcPr>
          <w:p>
            <w:r>
              <w:t>Scorpius (SSLC) [CHANGED]</w:t>
            </w:r>
          </w:p>
        </w:tc>
        <w:tc>
          <w:tcPr>
            <w:tcW w:type="dxa" w:w="3504"/>
          </w:tcPr>
          <w:p>
            <w:r>
              <w:t>Exos holds 18% passive equity in SSLC (carried at cost). SSLC is Exos's Type-V tank supply partner and sales channel: Exos earns a 15% commission on SSLC tank hardware it sells, at SSLC's own price, and on SSLC sales to Exos (effective rebate). SSLC Type-5 tanks flew on IM-1 (2024) &amp; IM-2 (2025).</w:t>
            </w:r>
          </w:p>
        </w:tc>
        <w:tc>
          <w:tcPr>
            <w:tcW w:type="dxa" w:w="3504"/>
          </w:tcPr>
          <w:p>
            <w:r>
              <w:t>Never say: acquisition of SSLC, ROFR, buying the 82%, consolidated/100% SSLC revenue, acquisition fairness opinion, manufacturing license as a dependency, or that Exos owns/manufactures the Type-V tank technology. Sales Commission Agreement in drafting.</w:t>
            </w:r>
          </w:p>
        </w:tc>
      </w:tr>
      <w:tr>
        <w:tc>
          <w:tcPr>
            <w:tcW w:type="dxa" w:w="3504"/>
          </w:tcPr>
          <w:p>
            <w:r>
              <w:t>Listing path</w:t>
            </w:r>
          </w:p>
        </w:tc>
        <w:tc>
          <w:tcPr>
            <w:tcW w:type="dxa" w:w="3504"/>
          </w:tcPr>
          <w:p>
            <w:r>
              <w:t>Private growth Series A now; TXSE-primary the dated, conditioned destination</w:t>
            </w:r>
          </w:p>
        </w:tc>
        <w:tc>
          <w:tcPr>
            <w:tcW w:type="dxa" w:w="3504"/>
          </w:tcPr>
          <w:p>
            <w:r>
              <w:t>Unchanged</w:t>
            </w:r>
          </w:p>
        </w:tc>
      </w:tr>
      <w:tr>
        <w:tc>
          <w:tcPr>
            <w:tcW w:type="dxa" w:w="3504"/>
          </w:tcPr>
          <w:p>
            <w:r>
              <w:t>Cap table</w:t>
            </w:r>
          </w:p>
        </w:tc>
        <w:tc>
          <w:tcPr>
            <w:tcW w:type="dxa" w:w="3504"/>
          </w:tcPr>
          <w:p>
            <w:r>
              <w:t>All common; David Mitchell 37% / John Quinn 21% / 5% pool</w:t>
            </w:r>
          </w:p>
        </w:tc>
        <w:tc>
          <w:tcPr>
            <w:tcW w:type="dxa" w:w="3504"/>
          </w:tcPr>
          <w:p>
            <w:r>
              <w:t>Unchanged</w:t>
            </w:r>
          </w:p>
        </w:tc>
      </w:tr>
      <w:tr>
        <w:tc>
          <w:tcPr>
            <w:tcW w:type="dxa" w:w="3504"/>
          </w:tcPr>
          <w:p>
            <w:r>
              <w:t>Core assets (of record) [CHANGED]</w:t>
            </w:r>
          </w:p>
        </w:tc>
        <w:tc>
          <w:tcPr>
            <w:tcW w:type="dxa" w:w="3504"/>
          </w:tcPr>
          <w:p>
            <w:r>
              <w:t>Four: (1) Integrated Pressurized Structures + the SSLC Type-V tank partnership (supply, 15% sales channel, 18% equity); (2) FAA-licensed reusable suborbital platform (BLK3); (3) RDRE / advanced-propulsion pipeline (USAF Phase II→III); (4) the AI-deployed operating platform</w:t>
            </w:r>
          </w:p>
        </w:tc>
        <w:tc>
          <w:tcPr>
            <w:tcW w:type="dxa" w:w="3504"/>
          </w:tcPr>
          <w:p>
            <w:r>
              <w:t>#1 no longer "Scorpius Type-5 cryo IP + 18%/ROFR".</w:t>
            </w:r>
          </w:p>
        </w:tc>
      </w:tr>
    </w:tbl>
    <w:p>
      <w:r>
        <w:t>Open items for Jon: (1) approve this sheet before the data-room .md is updated; (2) whether the 409A ($169.7M) needs a refresh now that the SSLC purchase option is no longer part of the strategy; (3) whether external docs may describe the commission terms before the Sales Commission Agreement is signed.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