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9"/>
                    <a:stretch>
                      <a:fillRect/>
                    </a:stretch>
                  </pic:blipFill>
                  <pic:spPr>
                    <a:xfrm>
                      <a:off x="0" y="0"/>
                      <a:ext cx="4572000" cy="944009"/>
                    </a:xfrm>
                    <a:prstGeom prst="rect"/>
                  </pic:spPr>
                </pic:pic>
              </a:graphicData>
            </a:graphic>
          </wp:inline>
        </w:drawing>
      </w:r>
    </w:p>
    <w:p>
      <w:pPr>
        <w:spacing w:after="0" w:before="0"/>
        <w:jc w:val="right"/>
      </w:pPr>
      <w:r>
        <w:rPr>
          <w:rFonts w:ascii="Calibri" w:hAnsi="Calibri"/>
          <w:b/>
          <w:i w:val="0"/>
          <w:color w:val="0B2A4A"/>
          <w:sz w:val="18"/>
        </w:rPr>
        <w:t xml:space="preserve">DOC NO:  </w:t>
      </w:r>
      <w:r>
        <w:rPr>
          <w:rFonts w:ascii="Calibri" w:hAnsi="Calibri"/>
          <w:b w:val="0"/>
          <w:i w:val="0"/>
          <w:color w:val="1C1C1C"/>
          <w:sz w:val="18"/>
        </w:rPr>
        <w:t>EXOS-ADM-004-0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08/21/2026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IN REVIEW</w:t>
      </w:r>
    </w:p>
    <w:p>
      <w:pPr>
        <w:spacing w:before="120" w:after="40"/>
        <w:jc w:val="center"/>
        <w:pBdr>
          <w:bottom w:val="single" w:sz="8" w:space="3" w:color="0b2a4a"/>
        </w:pBdr>
      </w:pPr>
      <w:r>
        <w:rPr>
          <w:rFonts w:ascii="Calibri" w:hAnsi="Calibri"/>
          <w:b/>
          <w:i w:val="0"/>
          <w:color w:val="0B2A4A"/>
          <w:sz w:val="34"/>
        </w:rPr>
        <w:t>Unified Carrier Registration (UCR) Annual Renewal</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renew Exos Aerospace's Unified Carrier Registration (UCR) annually so the company's USDOT registration remains active and in compliance</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UCR is an annual federal registration tied to the company USDOT number. The registration period opens October 1 and the renewal is due by December 30 each year. The annual fee is set by the UCR program and varies year to year (2020: $60.62; 2023: $42.22; 2024: $38.10; 2025: $47.37). Exos is a Private Motor Carrier (not a For Hire carrier). Key reference data: Website www.ucr.gov; USDOT Number 3020432; Due December 30 annually (period opens October 1); Carrier type Private Motor Carrier; MCS-150 reviewed and updated every other year (biennially).</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Confirm timing and fee</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registration window is open (opens October 1).</w:t>
      </w:r>
    </w:p>
    <w:p>
      <w:pPr>
        <w:spacing w:after="60"/>
        <w:ind w:left="360"/>
      </w:pPr>
      <w:r>
        <w:rPr>
          <w:rFonts w:ascii="Calibri" w:hAnsi="Calibri"/>
          <w:b w:val="0"/>
          <w:i w:val="0"/>
          <w:color w:val="0B2A4A"/>
          <w:sz w:val="24"/>
        </w:rPr>
        <w:t xml:space="preserve">☐  </w:t>
      </w:r>
      <w:r>
        <w:rPr>
          <w:rFonts w:ascii="Calibri" w:hAnsi="Calibri"/>
          <w:b w:val="0"/>
          <w:i w:val="0"/>
          <w:color w:val="1C1C1C"/>
          <w:sz w:val="21"/>
        </w:rPr>
        <w:t>Note the renewal deadline: December 30.</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current-year fee on the UCR site before paying.</w:t>
      </w:r>
    </w:p>
    <w:p>
      <w:pPr>
        <w:keepNext/>
        <w:spacing w:before="140" w:after="60"/>
      </w:pPr>
      <w:r>
        <w:rPr>
          <w:rFonts w:ascii="Calibri" w:hAnsi="Calibri"/>
          <w:b/>
          <w:i w:val="0"/>
          <w:color w:val="0B2A4A"/>
          <w:sz w:val="22"/>
        </w:rPr>
        <w:t>Task 2 - Access the UCR system</w:t>
      </w:r>
    </w:p>
    <w:p>
      <w:pPr>
        <w:spacing w:after="60"/>
        <w:ind w:left="360"/>
      </w:pPr>
      <w:r>
        <w:rPr>
          <w:rFonts w:ascii="Calibri" w:hAnsi="Calibri"/>
          <w:b w:val="0"/>
          <w:i w:val="0"/>
          <w:color w:val="0B2A4A"/>
          <w:sz w:val="24"/>
        </w:rPr>
        <w:t xml:space="preserve">☐  </w:t>
      </w:r>
      <w:r>
        <w:rPr>
          <w:rFonts w:ascii="Calibri" w:hAnsi="Calibri"/>
          <w:b w:val="0"/>
          <w:i w:val="0"/>
          <w:color w:val="1C1C1C"/>
          <w:sz w:val="21"/>
        </w:rPr>
        <w:t>Go to www.ucr.gov.</w:t>
      </w:r>
    </w:p>
    <w:p>
      <w:pPr>
        <w:spacing w:after="60"/>
        <w:ind w:left="360"/>
      </w:pPr>
      <w:r>
        <w:rPr>
          <w:rFonts w:ascii="Calibri" w:hAnsi="Calibri"/>
          <w:b w:val="0"/>
          <w:i w:val="0"/>
          <w:color w:val="0B2A4A"/>
          <w:sz w:val="24"/>
        </w:rPr>
        <w:t xml:space="preserve">☐  </w:t>
      </w:r>
      <w:r>
        <w:rPr>
          <w:rFonts w:ascii="Calibri" w:hAnsi="Calibri"/>
          <w:b w:val="0"/>
          <w:i w:val="0"/>
          <w:color w:val="1C1C1C"/>
          <w:sz w:val="21"/>
        </w:rPr>
        <w:t>Enter the USDOT number 3020432.</w:t>
      </w:r>
    </w:p>
    <w:p>
      <w:pPr>
        <w:spacing w:after="60"/>
        <w:ind w:left="360"/>
      </w:pPr>
      <w:r>
        <w:rPr>
          <w:rFonts w:ascii="Calibri" w:hAnsi="Calibri"/>
          <w:b w:val="0"/>
          <w:i w:val="0"/>
          <w:color w:val="0B2A4A"/>
          <w:sz w:val="24"/>
        </w:rPr>
        <w:t xml:space="preserve">☐  </w:t>
      </w:r>
      <w:r>
        <w:rPr>
          <w:rFonts w:ascii="Calibri" w:hAnsi="Calibri"/>
          <w:b w:val="0"/>
          <w:i w:val="0"/>
          <w:color w:val="1C1C1C"/>
          <w:sz w:val="21"/>
        </w:rPr>
        <w:t>Re-enter the USDOT number when prompted a second time.</w:t>
      </w:r>
    </w:p>
    <w:p>
      <w:pPr>
        <w:spacing w:after="60"/>
        <w:ind w:left="360"/>
      </w:pPr>
      <w:r>
        <w:rPr>
          <w:rFonts w:ascii="Calibri" w:hAnsi="Calibri"/>
          <w:b w:val="0"/>
          <w:i w:val="0"/>
          <w:color w:val="0B2A4A"/>
          <w:sz w:val="24"/>
        </w:rPr>
        <w:t xml:space="preserve">☐  </w:t>
      </w:r>
      <w:r>
        <w:rPr>
          <w:rFonts w:ascii="Calibri" w:hAnsi="Calibri"/>
          <w:b w:val="0"/>
          <w:i w:val="0"/>
          <w:color w:val="1C1C1C"/>
          <w:sz w:val="21"/>
        </w:rPr>
        <w:t>Open and review the Privacy and Terms and Conditions links (required to proceed).</w:t>
      </w:r>
    </w:p>
    <w:p>
      <w:pPr>
        <w:keepNext/>
        <w:spacing w:before="140" w:after="60"/>
      </w:pPr>
      <w:r>
        <w:rPr>
          <w:rFonts w:ascii="Calibri" w:hAnsi="Calibri"/>
          <w:b/>
          <w:i w:val="0"/>
          <w:color w:val="0B2A4A"/>
          <w:sz w:val="22"/>
        </w:rPr>
        <w:t>Task 3 - Renew the registration</w:t>
      </w:r>
    </w:p>
    <w:p>
      <w:pPr>
        <w:spacing w:after="60"/>
        <w:ind w:left="360"/>
      </w:pPr>
      <w:r>
        <w:rPr>
          <w:rFonts w:ascii="Calibri" w:hAnsi="Calibri"/>
          <w:b w:val="0"/>
          <w:i w:val="0"/>
          <w:color w:val="0B2A4A"/>
          <w:sz w:val="24"/>
        </w:rPr>
        <w:t xml:space="preserve">☐  </w:t>
      </w:r>
      <w:r>
        <w:rPr>
          <w:rFonts w:ascii="Calibri" w:hAnsi="Calibri"/>
          <w:b w:val="0"/>
          <w:i w:val="0"/>
          <w:color w:val="1C1C1C"/>
          <w:sz w:val="21"/>
        </w:rPr>
        <w:t>Proceed to the page listing all previous registrations.</w:t>
      </w:r>
    </w:p>
    <w:p>
      <w:pPr>
        <w:spacing w:after="60"/>
        <w:ind w:left="360"/>
      </w:pPr>
      <w:r>
        <w:rPr>
          <w:rFonts w:ascii="Calibri" w:hAnsi="Calibri"/>
          <w:b w:val="0"/>
          <w:i w:val="0"/>
          <w:color w:val="0B2A4A"/>
          <w:sz w:val="24"/>
        </w:rPr>
        <w:t xml:space="preserve">☐  </w:t>
      </w:r>
      <w:r>
        <w:rPr>
          <w:rFonts w:ascii="Calibri" w:hAnsi="Calibri"/>
          <w:b w:val="0"/>
          <w:i w:val="0"/>
          <w:color w:val="1C1C1C"/>
          <w:sz w:val="21"/>
        </w:rPr>
        <w:t>Select the current year and begin the renewal.</w:t>
      </w:r>
    </w:p>
    <w:p>
      <w:pPr>
        <w:spacing w:after="60"/>
        <w:ind w:left="360"/>
      </w:pPr>
      <w:r>
        <w:rPr>
          <w:rFonts w:ascii="Calibri" w:hAnsi="Calibri"/>
          <w:b w:val="0"/>
          <w:i w:val="0"/>
          <w:color w:val="0B2A4A"/>
          <w:sz w:val="24"/>
        </w:rPr>
        <w:t xml:space="preserve">☐  </w:t>
      </w:r>
      <w:r>
        <w:rPr>
          <w:rFonts w:ascii="Calibri" w:hAnsi="Calibri"/>
          <w:b w:val="0"/>
          <w:i w:val="0"/>
          <w:color w:val="1C1C1C"/>
          <w:sz w:val="21"/>
        </w:rPr>
        <w:t>Review the MCS-150 and update if due (review every other year).</w:t>
      </w:r>
    </w:p>
    <w:p>
      <w:pPr>
        <w:spacing w:after="60"/>
        <w:ind w:left="360"/>
      </w:pPr>
      <w:r>
        <w:rPr>
          <w:rFonts w:ascii="Calibri" w:hAnsi="Calibri"/>
          <w:b w:val="0"/>
          <w:i w:val="0"/>
          <w:color w:val="0B2A4A"/>
          <w:sz w:val="24"/>
        </w:rPr>
        <w:t xml:space="preserve">☐  </w:t>
      </w:r>
      <w:r>
        <w:rPr>
          <w:rFonts w:ascii="Calibri" w:hAnsi="Calibri"/>
          <w:b w:val="0"/>
          <w:i w:val="0"/>
          <w:color w:val="1C1C1C"/>
          <w:sz w:val="21"/>
        </w:rPr>
        <w:t>When asked for carrier type, select Private Motor Carrier (Exos is not a For Hire carrier).</w:t>
      </w:r>
    </w:p>
    <w:p>
      <w:pPr>
        <w:spacing w:after="60"/>
        <w:ind w:left="360"/>
      </w:pPr>
      <w:r>
        <w:rPr>
          <w:rFonts w:ascii="Calibri" w:hAnsi="Calibri"/>
          <w:b w:val="0"/>
          <w:i w:val="0"/>
          <w:color w:val="0B2A4A"/>
          <w:sz w:val="24"/>
        </w:rPr>
        <w:t xml:space="preserve">☐  </w:t>
      </w:r>
      <w:r>
        <w:rPr>
          <w:rFonts w:ascii="Calibri" w:hAnsi="Calibri"/>
          <w:b w:val="0"/>
          <w:i w:val="0"/>
          <w:color w:val="1C1C1C"/>
          <w:sz w:val="21"/>
        </w:rPr>
        <w:t>Pay the fee and confirm the registration is complete.</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Steve Norsworthy / Operations   ·   Reference documents: USDOT #3020432; www.ucr.gov; MCS-150 (Motor Carrier Identification Report); Unified Carrier Registration program</w:t>
      </w:r>
    </w:p>
    <w:p>
      <w:pPr>
        <w:spacing w:before="160" w:after="40"/>
        <w:jc w:val="center"/>
      </w:pPr>
      <w:r>
        <w:rPr>
          <w:rFonts w:ascii="Calibri" w:hAnsi="Calibri"/>
          <w:b w:val="0"/>
          <w:i w:val="0"/>
          <w:color w:val="606A78"/>
          <w:sz w:val="16"/>
        </w:rPr>
        <w:t>EXOS-ADM-004-0 Rev 0  ·  Controlled copy — valid for today's date only  ·  Process &amp; Procedure Control per EXOS-US-QMS-001</w:t>
      </w:r>
    </w:p>
    <w:p>
      <w:pPr>
        <w:jc w:val="center"/>
      </w:pPr>
      <w:r>
        <w:drawing>
          <wp:inline xmlns:a="http://schemas.openxmlformats.org/drawingml/2006/main" xmlns:pic="http://schemas.openxmlformats.org/drawingml/2006/picture">
            <wp:extent cx="4572000" cy="750679"/>
            <wp:docPr id="2" name="Picture 2"/>
            <wp:cNvGraphicFramePr>
              <a:graphicFrameLocks noChangeAspect="1"/>
            </wp:cNvGraphicFramePr>
            <a:graphic>
              <a:graphicData uri="http://schemas.openxmlformats.org/drawingml/2006/picture">
                <pic:pic>
                  <pic:nvPicPr>
                    <pic:cNvPr id="0" name="exos-letterhead-footer.png"/>
                    <pic:cNvPicPr/>
                  </pic:nvPicPr>
                  <pic:blipFill>
                    <a:blip r:embed="rId10"/>
                    <a:stretch>
                      <a:fillRect/>
                    </a:stretch>
                  </pic:blipFill>
                  <pic:spPr>
                    <a:xfrm>
                      <a:off x="0" y="0"/>
                      <a:ext cx="4572000" cy="750679"/>
                    </a:xfrm>
                    <a:prstGeom prst="rect"/>
                  </pic:spPr>
                </pic:pic>
              </a:graphicData>
            </a:graphic>
          </wp:inline>
        </w:drawing>
      </w:r>
    </w:p>
    <w:sectPr w:rsidR="00FC693F" w:rsidRPr="0006063C" w:rsidSect="00034616">
      <w:pgSz w:w="12240" w:h="15840"/>
      <w:pgMar w:top="864"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