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9"/>
                    <a:stretch>
                      <a:fillRect/>
                    </a:stretch>
                  </pic:blipFill>
                  <pic:spPr>
                    <a:xfrm>
                      <a:off x="0" y="0"/>
                      <a:ext cx="4572000" cy="944009"/>
                    </a:xfrm>
                    <a:prstGeom prst="rect"/>
                  </pic:spPr>
                </pic:pic>
              </a:graphicData>
            </a:graphic>
          </wp:inline>
        </w:drawing>
      </w:r>
    </w:p>
    <w:p>
      <w:pPr>
        <w:spacing w:after="0" w:before="0"/>
        <w:jc w:val="right"/>
      </w:pPr>
      <w:r>
        <w:rPr>
          <w:rFonts w:ascii="Calibri" w:hAnsi="Calibri"/>
          <w:b/>
          <w:i w:val="0"/>
          <w:color w:val="0B2A4A"/>
          <w:sz w:val="18"/>
        </w:rPr>
        <w:t xml:space="preserve">DOC NO:  </w:t>
      </w:r>
      <w:r>
        <w:rPr>
          <w:rFonts w:ascii="Calibri" w:hAnsi="Calibri"/>
          <w:b w:val="0"/>
          <w:i w:val="0"/>
          <w:color w:val="1C1C1C"/>
          <w:sz w:val="18"/>
        </w:rPr>
        <w:t>EXOS-FIN-001-0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Monthly GAAP Close &amp; Financial Verification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standard monthly close so Exos's books are maintained on a GAAP (accrual) basis, reconciled, and verifiable for management and investor due diligence.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QuickBooks Online is the single general ledger and system of record; this close is performed in QBO on the accrual basis and the period is LOCKED when complete. Mission Control provides read-only verification (automated tie-outs and exception flags) on top of QBO - it is not a second ledger. Target close: within 10 business days of month-end.</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1. Cutoff &amp; Transaction Completeness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all vendor bills (AP), customer invoices (AR), Divvy / credit-card charges, and expense reports for the period are entered.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payroll for the period is fully recorded, including employer taxes and benefits.</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transaction cutoff: revenues and expenses are booked in the period earned / incurred (accrual), not when cash moved.</w:t>
      </w:r>
    </w:p>
    <w:p>
      <w:pPr>
        <w:spacing w:after="60"/>
        <w:ind w:left="360"/>
      </w:pPr>
      <w:r>
        <w:rPr>
          <w:rFonts w:ascii="Calibri" w:hAnsi="Calibri"/>
          <w:b w:val="0"/>
          <w:i w:val="0"/>
          <w:color w:val="0B2A4A"/>
          <w:sz w:val="24"/>
        </w:rPr>
        <w:t xml:space="preserve">☐  </w:t>
      </w:r>
      <w:r>
        <w:rPr>
          <w:rFonts w:ascii="Calibri" w:hAnsi="Calibri"/>
          <w:b w:val="0"/>
          <w:i w:val="0"/>
          <w:color w:val="1C1C1C"/>
          <w:sz w:val="21"/>
        </w:rPr>
        <w:t>Categorize and clear all uncategorized and undeposited-funds transactions.</w:t>
      </w:r>
    </w:p>
    <w:p>
      <w:pPr>
        <w:keepNext/>
        <w:spacing w:before="140" w:after="60"/>
      </w:pPr>
      <w:r>
        <w:rPr>
          <w:rFonts w:ascii="Calibri" w:hAnsi="Calibri"/>
          <w:b/>
          <w:i w:val="0"/>
          <w:color w:val="0B2A4A"/>
          <w:sz w:val="22"/>
        </w:rPr>
        <w:t>2. Cash Reconciliations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Reconcile every bank account in QBO to the bank statement; investigate and clear reconciling items.</w:t>
      </w:r>
    </w:p>
    <w:p>
      <w:pPr>
        <w:spacing w:after="60"/>
        <w:ind w:left="360"/>
      </w:pPr>
      <w:r>
        <w:rPr>
          <w:rFonts w:ascii="Calibri" w:hAnsi="Calibri"/>
          <w:b w:val="0"/>
          <w:i w:val="0"/>
          <w:color w:val="0B2A4A"/>
          <w:sz w:val="24"/>
        </w:rPr>
        <w:t xml:space="preserve">☐  </w:t>
      </w:r>
      <w:r>
        <w:rPr>
          <w:rFonts w:ascii="Calibri" w:hAnsi="Calibri"/>
          <w:b w:val="0"/>
          <w:i w:val="0"/>
          <w:color w:val="1C1C1C"/>
          <w:sz w:val="21"/>
        </w:rPr>
        <w:t>Reconcile every credit card (Divvy) and confirm all receipts are captured.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ending book cash ties to the bank balances.</w:t>
      </w:r>
    </w:p>
    <w:p>
      <w:pPr>
        <w:keepNext/>
        <w:spacing w:before="140" w:after="60"/>
      </w:pPr>
      <w:r>
        <w:rPr>
          <w:rFonts w:ascii="Calibri" w:hAnsi="Calibri"/>
          <w:b/>
          <w:i w:val="0"/>
          <w:color w:val="0B2A4A"/>
          <w:sz w:val="22"/>
        </w:rPr>
        <w:t>3. Balance Sheet Reconciliations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AR: tie the aging to the GL; reserve or write off uncollectible balances.</w:t>
      </w:r>
    </w:p>
    <w:p>
      <w:pPr>
        <w:spacing w:after="60"/>
        <w:ind w:left="360"/>
      </w:pPr>
      <w:r>
        <w:rPr>
          <w:rFonts w:ascii="Calibri" w:hAnsi="Calibri"/>
          <w:b w:val="0"/>
          <w:i w:val="0"/>
          <w:color w:val="0B2A4A"/>
          <w:sz w:val="24"/>
        </w:rPr>
        <w:t xml:space="preserve">☐  </w:t>
      </w:r>
      <w:r>
        <w:rPr>
          <w:rFonts w:ascii="Calibri" w:hAnsi="Calibri"/>
          <w:b w:val="0"/>
          <w:i w:val="0"/>
          <w:color w:val="1C1C1C"/>
          <w:sz w:val="21"/>
        </w:rPr>
        <w:t>AP: tie the aging to the GL; confirm no missing or duplicate liabilities.</w:t>
      </w:r>
    </w:p>
    <w:p>
      <w:pPr>
        <w:spacing w:after="60"/>
        <w:ind w:left="360"/>
      </w:pPr>
      <w:r>
        <w:rPr>
          <w:rFonts w:ascii="Calibri" w:hAnsi="Calibri"/>
          <w:b w:val="0"/>
          <w:i w:val="0"/>
          <w:color w:val="0B2A4A"/>
          <w:sz w:val="24"/>
        </w:rPr>
        <w:t xml:space="preserve">☐  </w:t>
      </w:r>
      <w:r>
        <w:rPr>
          <w:rFonts w:ascii="Calibri" w:hAnsi="Calibri"/>
          <w:b w:val="0"/>
          <w:i w:val="0"/>
          <w:color w:val="1C1C1C"/>
          <w:sz w:val="21"/>
        </w:rPr>
        <w:t>Prepaid expenses: update the schedule and record the period amortization.</w:t>
      </w:r>
    </w:p>
    <w:p>
      <w:pPr>
        <w:spacing w:after="60"/>
        <w:ind w:left="360"/>
      </w:pPr>
      <w:r>
        <w:rPr>
          <w:rFonts w:ascii="Calibri" w:hAnsi="Calibri"/>
          <w:b w:val="0"/>
          <w:i w:val="0"/>
          <w:color w:val="0B2A4A"/>
          <w:sz w:val="24"/>
        </w:rPr>
        <w:t xml:space="preserve">☐  </w:t>
      </w:r>
      <w:r>
        <w:rPr>
          <w:rFonts w:ascii="Calibri" w:hAnsi="Calibri"/>
          <w:b w:val="0"/>
          <w:i w:val="0"/>
          <w:color w:val="1C1C1C"/>
          <w:sz w:val="21"/>
        </w:rPr>
        <w:t>Fixed assets: record additions / disposals and the monthly depreciation entry.</w:t>
      </w:r>
    </w:p>
    <w:p>
      <w:pPr>
        <w:spacing w:after="60"/>
        <w:ind w:left="360"/>
      </w:pPr>
      <w:r>
        <w:rPr>
          <w:rFonts w:ascii="Calibri" w:hAnsi="Calibri"/>
          <w:b w:val="0"/>
          <w:i w:val="0"/>
          <w:color w:val="0B2A4A"/>
          <w:sz w:val="24"/>
        </w:rPr>
        <w:t xml:space="preserve">☐  </w:t>
      </w:r>
      <w:r>
        <w:rPr>
          <w:rFonts w:ascii="Calibri" w:hAnsi="Calibri"/>
          <w:b w:val="0"/>
          <w:i w:val="0"/>
          <w:color w:val="1C1C1C"/>
          <w:sz w:val="21"/>
        </w:rPr>
        <w:t>Accrued liabilities: accrue payroll, PTO, interest, and known unbilled costs.</w:t>
      </w:r>
    </w:p>
    <w:p>
      <w:pPr>
        <w:spacing w:after="60"/>
        <w:ind w:left="360"/>
      </w:pPr>
      <w:r>
        <w:rPr>
          <w:rFonts w:ascii="Calibri" w:hAnsi="Calibri"/>
          <w:b w:val="0"/>
          <w:i w:val="0"/>
          <w:color w:val="0B2A4A"/>
          <w:sz w:val="24"/>
        </w:rPr>
        <w:t xml:space="preserve">☐  </w:t>
      </w:r>
      <w:r>
        <w:rPr>
          <w:rFonts w:ascii="Calibri" w:hAnsi="Calibri"/>
          <w:b w:val="0"/>
          <w:i w:val="0"/>
          <w:color w:val="1C1C1C"/>
          <w:sz w:val="21"/>
        </w:rPr>
        <w:t>Debt / notes: tie principal to lender statements and record accrued interest.</w:t>
      </w:r>
    </w:p>
    <w:p>
      <w:pPr>
        <w:spacing w:after="60"/>
        <w:ind w:left="360"/>
      </w:pPr>
      <w:r>
        <w:rPr>
          <w:rFonts w:ascii="Calibri" w:hAnsi="Calibri"/>
          <w:b w:val="0"/>
          <w:i w:val="0"/>
          <w:color w:val="0B2A4A"/>
          <w:sz w:val="24"/>
        </w:rPr>
        <w:t xml:space="preserve">☐  </w:t>
      </w:r>
      <w:r>
        <w:rPr>
          <w:rFonts w:ascii="Calibri" w:hAnsi="Calibri"/>
          <w:b w:val="0"/>
          <w:i w:val="0"/>
          <w:color w:val="1C1C1C"/>
          <w:sz w:val="21"/>
        </w:rPr>
        <w:t>Equity: reconcile to the cap table (SAFEs / convertibles, common / preferred, option pool).</w:t>
      </w:r>
    </w:p>
    <w:p>
      <w:pPr>
        <w:keepNext/>
        <w:spacing w:before="140" w:after="60"/>
      </w:pPr>
      <w:r>
        <w:rPr>
          <w:rFonts w:ascii="Calibri" w:hAnsi="Calibri"/>
          <w:b/>
          <w:i w:val="0"/>
          <w:color w:val="0B2A4A"/>
          <w:sz w:val="22"/>
        </w:rPr>
        <w:t>4. Revenue Recognition (ASC 606)</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active contracts; identify the performance obligations and milestones.</w:t>
      </w:r>
    </w:p>
    <w:p>
      <w:pPr>
        <w:spacing w:after="60"/>
        <w:ind w:left="360"/>
      </w:pPr>
      <w:r>
        <w:rPr>
          <w:rFonts w:ascii="Calibri" w:hAnsi="Calibri"/>
          <w:b w:val="0"/>
          <w:i w:val="0"/>
          <w:color w:val="0B2A4A"/>
          <w:sz w:val="24"/>
        </w:rPr>
        <w:t xml:space="preserve">☐  </w:t>
      </w:r>
      <w:r>
        <w:rPr>
          <w:rFonts w:ascii="Calibri" w:hAnsi="Calibri"/>
          <w:b w:val="0"/>
          <w:i w:val="0"/>
          <w:color w:val="1C1C1C"/>
          <w:sz w:val="21"/>
        </w:rPr>
        <w:t>Recognize revenue for obligations satisfied in the period; defer the remainder.</w:t>
      </w:r>
    </w:p>
    <w:p>
      <w:pPr>
        <w:spacing w:after="60"/>
        <w:ind w:left="360"/>
      </w:pPr>
      <w:r>
        <w:rPr>
          <w:rFonts w:ascii="Calibri" w:hAnsi="Calibri"/>
          <w:b w:val="0"/>
          <w:i w:val="0"/>
          <w:color w:val="0B2A4A"/>
          <w:sz w:val="24"/>
        </w:rPr>
        <w:t xml:space="preserve">☐  </w:t>
      </w:r>
      <w:r>
        <w:rPr>
          <w:rFonts w:ascii="Calibri" w:hAnsi="Calibri"/>
          <w:b w:val="0"/>
          <w:i w:val="0"/>
          <w:color w:val="1C1C1C"/>
          <w:sz w:val="21"/>
        </w:rPr>
        <w:t>Roll forward deferred revenue / contract liabilities and confirm the balance.</w:t>
      </w:r>
    </w:p>
    <w:p>
      <w:pPr>
        <w:spacing w:after="60"/>
        <w:ind w:left="360"/>
      </w:pPr>
      <w:r>
        <w:rPr>
          <w:rFonts w:ascii="Calibri" w:hAnsi="Calibri"/>
          <w:b w:val="0"/>
          <w:i w:val="0"/>
          <w:color w:val="0B2A4A"/>
          <w:sz w:val="24"/>
        </w:rPr>
        <w:t xml:space="preserve">☐  </w:t>
      </w:r>
      <w:r>
        <w:rPr>
          <w:rFonts w:ascii="Calibri" w:hAnsi="Calibri"/>
          <w:b w:val="0"/>
          <w:i w:val="0"/>
          <w:color w:val="1C1C1C"/>
          <w:sz w:val="21"/>
        </w:rPr>
        <w:t>Flag any launch-service or milestone payments requiring judgment for CFO review.</w:t>
      </w:r>
    </w:p>
    <w:p>
      <w:pPr>
        <w:keepNext/>
        <w:spacing w:before="140" w:after="60"/>
      </w:pPr>
      <w:r>
        <w:rPr>
          <w:rFonts w:ascii="Calibri" w:hAnsi="Calibri"/>
          <w:b/>
          <w:i w:val="0"/>
          <w:color w:val="0B2A4A"/>
          <w:sz w:val="22"/>
        </w:rPr>
        <w:t>5. Review &amp; Analytical Verification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Generate the P&amp;L, Balance Sheet, and Statement of Cash Flows on the accrual basis.</w:t>
      </w:r>
    </w:p>
    <w:p>
      <w:pPr>
        <w:spacing w:after="60"/>
        <w:ind w:left="360"/>
      </w:pPr>
      <w:r>
        <w:rPr>
          <w:rFonts w:ascii="Calibri" w:hAnsi="Calibri"/>
          <w:b w:val="0"/>
          <w:i w:val="0"/>
          <w:color w:val="0B2A4A"/>
          <w:sz w:val="24"/>
        </w:rPr>
        <w:t xml:space="preserve">☐  </w:t>
      </w:r>
      <w:r>
        <w:rPr>
          <w:rFonts w:ascii="Calibri" w:hAnsi="Calibri"/>
          <w:b w:val="0"/>
          <w:i w:val="0"/>
          <w:color w:val="1C1C1C"/>
          <w:sz w:val="21"/>
        </w:rPr>
        <w:t>Run month-over-month and budget-vs-actual variance (flux) analysis on material accounts; document the explanations.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trial balance is in balance and every reconciliation is complete and signed off.</w:t>
      </w:r>
    </w:p>
    <w:p>
      <w:pPr>
        <w:keepNext/>
        <w:spacing w:before="140" w:after="60"/>
      </w:pPr>
      <w:r>
        <w:rPr>
          <w:rFonts w:ascii="Calibri" w:hAnsi="Calibri"/>
          <w:b/>
          <w:i w:val="0"/>
          <w:color w:val="0B2A4A"/>
          <w:sz w:val="22"/>
        </w:rPr>
        <w:t>6. Close, Sign-off &amp; Distribution</w:t>
      </w:r>
    </w:p>
    <w:p>
      <w:pPr>
        <w:spacing w:after="60"/>
        <w:ind w:left="360"/>
      </w:pPr>
      <w:r>
        <w:rPr>
          <w:rFonts w:ascii="Calibri" w:hAnsi="Calibri"/>
          <w:b w:val="0"/>
          <w:i w:val="0"/>
          <w:color w:val="0B2A4A"/>
          <w:sz w:val="24"/>
        </w:rPr>
        <w:t xml:space="preserve">☐  </w:t>
      </w:r>
      <w:r>
        <w:rPr>
          <w:rFonts w:ascii="Calibri" w:hAnsi="Calibri"/>
          <w:b w:val="0"/>
          <w:i w:val="0"/>
          <w:color w:val="1C1C1C"/>
          <w:sz w:val="21"/>
        </w:rPr>
        <w:t>CFO reviews and approves the completed close.</w:t>
      </w:r>
    </w:p>
    <w:p>
      <w:pPr>
        <w:spacing w:after="60"/>
        <w:ind w:left="360"/>
      </w:pPr>
      <w:r>
        <w:rPr>
          <w:rFonts w:ascii="Calibri" w:hAnsi="Calibri"/>
          <w:b w:val="0"/>
          <w:i w:val="0"/>
          <w:color w:val="0B2A4A"/>
          <w:sz w:val="24"/>
        </w:rPr>
        <w:t xml:space="preserve">☐  </w:t>
      </w:r>
      <w:r>
        <w:rPr>
          <w:rFonts w:ascii="Calibri" w:hAnsi="Calibri"/>
          <w:b w:val="0"/>
          <w:i w:val="0"/>
          <w:color w:val="1C1C1C"/>
          <w:sz w:val="21"/>
        </w:rPr>
        <w:t>Lock the period in QuickBooks Online so history cannot change.</w:t>
      </w:r>
    </w:p>
    <w:p>
      <w:pPr>
        <w:spacing w:after="60"/>
        <w:ind w:left="360"/>
      </w:pPr>
      <w:r>
        <w:rPr>
          <w:rFonts w:ascii="Calibri" w:hAnsi="Calibri"/>
          <w:b w:val="0"/>
          <w:i w:val="0"/>
          <w:color w:val="0B2A4A"/>
          <w:sz w:val="24"/>
        </w:rPr>
        <w:t xml:space="preserve">☐  </w:t>
      </w:r>
      <w:r>
        <w:rPr>
          <w:rFonts w:ascii="Calibri" w:hAnsi="Calibri"/>
          <w:b w:val="0"/>
          <w:i w:val="0"/>
          <w:color w:val="1C1C1C"/>
          <w:sz w:val="21"/>
        </w:rPr>
        <w:t>Publish the monthly financial statements to the Series A data room / investor reporting.</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log any exceptions and corrective actions to carry into the next close.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Kyle Ballard (CFO / Finance)   ·   Reference documents: QuickBooks Online (general ledger / system of record); ASC 606 (revenue recognition); ASC 842 (leases, if applicable); Exos cap table; lender / loan statements; EXOS-ADM-002 Expense Report Submission.</w:t>
      </w:r>
    </w:p>
    <w:p>
      <w:pPr>
        <w:spacing w:before="160" w:after="40"/>
        <w:jc w:val="center"/>
      </w:pPr>
      <w:r>
        <w:rPr>
          <w:rFonts w:ascii="Calibri" w:hAnsi="Calibri"/>
          <w:b w:val="0"/>
          <w:i w:val="0"/>
          <w:color w:val="606A78"/>
          <w:sz w:val="16"/>
        </w:rPr>
        <w:t>EXOS-FIN-001-0 Rev 0  ·  Controlled copy — valid for today's date only  ·  Process &amp; Procedure Control per EXOS-US-QMS-001</w:t>
      </w:r>
    </w:p>
    <w:p>
      <w:pPr>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0"/>
                    <a:stretch>
                      <a:fillRect/>
                    </a:stretch>
                  </pic:blipFill>
                  <pic:spPr>
                    <a:xfrm>
                      <a:off x="0" y="0"/>
                      <a:ext cx="4572000" cy="750679"/>
                    </a:xfrm>
                    <a:prstGeom prst="rect"/>
                  </pic:spPr>
                </pic:pic>
              </a:graphicData>
            </a:graphic>
          </wp:inline>
        </w:drawing>
      </w:r>
    </w:p>
    <w:sectPr w:rsidR="00FC693F" w:rsidRPr="0006063C"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