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DRAFT — NOT SENT — for John Quinn's review</w:t>
      </w:r>
    </w:p>
    <w:p>
      <w:r>
        <w:rPr>
          <w:b w:val="0"/>
        </w:rPr>
        <w:t>To: Jim Wertz, Chairman, and the SSLC Board of Directors</w:t>
      </w:r>
    </w:p>
    <w:p>
      <w:r>
        <w:rPr>
          <w:b w:val="0"/>
        </w:rPr>
        <w:t>From: John M. Quinn, SSLC Director; Cofounder &amp; CEO, Exos Aerospace Systems &amp; Technologies, Inc.</w:t>
      </w:r>
    </w:p>
    <w:p>
      <w:r>
        <w:rPr>
          <w:b w:val="0"/>
        </w:rPr>
        <w:t>Subject: Request for full QuickBooks access: billed-ahead review before close</w:t>
      </w:r>
    </w:p>
    <w:p>
      <w:r>
        <w:rPr>
          <w:b w:val="0"/>
        </w:rPr>
      </w:r>
    </w:p>
    <w:p>
      <w:r>
        <w:rPr>
          <w:b w:val="0"/>
        </w:rPr>
        <w:t>Jim and members of the Board,</w:t>
      </w:r>
    </w:p>
    <w:p>
      <w:r>
        <w:rPr>
          <w:b w:val="0"/>
        </w:rPr>
        <w:t>To finalize what SSLC shareholders receive at the acquisition close, we need to resolve the $864,062 shown as "billed ahead of work performed" on SSLC's October 2 balance sheet. I believe that figure does not reflect how SSLC actually starts and bills tanks, and it directly affects the close math.</w:t>
      </w:r>
    </w:p>
    <w:p>
      <w:r>
        <w:rPr>
          <w:b w:val="0"/>
        </w:rPr>
        <w:t>I'm requesting full, read-only QuickBooks Online access for me and Exos's finance reviewer (an all-access user or accountant user, not reports-only), so we can review:</w:t>
      </w:r>
    </w:p>
    <w:p>
      <w:pPr>
        <w:pStyle w:val="ListBullet"/>
      </w:pPr>
      <w:r>
        <w:t>Invoice and payment detail by customer, with the contract or PO behind each invoice</w:t>
      </w:r>
    </w:p>
    <w:p>
      <w:pPr>
        <w:pStyle w:val="ListBullet"/>
      </w:pPr>
      <w:r>
        <w:t>Progress/milestone billing and revenue-recognition settings</w:t>
      </w:r>
    </w:p>
    <w:p>
      <w:pPr>
        <w:pStyle w:val="ListBullet"/>
      </w:pPr>
      <w:r>
        <w:t>Tank start, build-status and delivery dates mapped to each invoice</w:t>
      </w:r>
    </w:p>
    <w:p>
      <w:pPr>
        <w:pStyle w:val="ListBullet"/>
      </w:pPr>
      <w:r>
        <w:t>Customer deposits ($120,000) and any job or project costing</w:t>
      </w:r>
    </w:p>
    <w:p>
      <w:pPr>
        <w:pStyle w:val="ListBullet"/>
      </w:pPr>
      <w:r>
        <w:t>The audit log for entries affecting these accounts</w:t>
      </w:r>
    </w:p>
    <w:p>
      <w:pPr>
        <w:pStyle w:val="ListBullet"/>
      </w:pPr>
      <w:r>
        <w:t>Facility expenses (rent, utilities and similar) since January 2024, including amounts paid on behalf of Microcosm, Inc.</w:t>
      </w:r>
    </w:p>
    <w:p>
      <w:r>
        <w:rPr>
          <w:b w:val="0"/>
        </w:rPr>
        <w:t>As a director I have the right to inspect SSLC's books and records (Cal. Corp. Code § 1602: https://codes.findlaw.com/ca/corporations-code/corp-sect-1602/). This review is also part of the confirmatory diligence contemplated under our May 2025 Asset Acquisition Agreement. All information stays confidential under our July 27, 2021 NDA.</w:t>
      </w:r>
    </w:p>
    <w:p>
      <w:r>
        <w:rPr>
          <w:b w:val="0"/>
        </w:rPr>
        <w:t>Could you grant access by [date]? Once the balance is reconciled, I'll share the analysis with the full board so we can agree on the figures at close.</w:t>
      </w:r>
    </w:p>
    <w:p>
      <w:r>
        <w:rPr>
          <w:b w:val="0"/>
        </w:rPr>
      </w:r>
    </w:p>
    <w:p>
      <w:r>
        <w:rPr>
          <w:b w:val="0"/>
        </w:rPr>
        <w:t>Thank you,</w:t>
      </w:r>
    </w:p>
    <w:p>
      <w:r>
        <w:rPr>
          <w:b/>
        </w:rPr>
        <w:t>John M. Quinn</w:t>
      </w:r>
    </w:p>
    <w:p>
      <w:r>
        <w:rPr>
          <w:b w:val="0"/>
        </w:rPr>
        <w:t>Director, Scorpius Space Launch Company</w:t>
      </w:r>
    </w:p>
    <w:p>
      <w:r>
        <w:rPr>
          <w:b w:val="0"/>
        </w:rPr>
        <w:t>Cofounder &amp; CEO, Exos Aerospace Systems &amp; Technologies, Inc.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