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33124D" w14:textId="2A1275F1" w:rsidR="00D02269" w:rsidRPr="007C623E" w:rsidRDefault="00D02269" w:rsidP="007C623E"/>
    <w:p>
      <w:pPr>
        <w:spacing w:after="40" w:before="0"/>
        <w:jc w:val="center"/>
      </w:pPr>
      <w:r>
        <w:rPr>
          <w:b/>
          <w:i w:val="0"/>
          <w:color w:val="C00000"/>
          <w:sz w:val="18"/>
        </w:rPr>
        <w:t>INTERNAL  ·  DRAFT  ·  NEGOTIATING TERMS  ·  CEO / Board Eyes Only</w:t>
      </w:r>
    </w:p>
    <w:p>
      <w:pPr>
        <w:spacing w:after="40" w:before="0"/>
        <w:jc w:val="center"/>
      </w:pPr>
      <w:r>
        <w:rPr>
          <w:b/>
          <w:i w:val="0"/>
          <w:color w:val="1F3A68"/>
          <w:sz w:val="28"/>
        </w:rPr>
        <w:t>EXOS AEROSPACE — SSLC OPTION B: ACQUISITION OFFER SUMMARY</w:t>
      </w:r>
    </w:p>
    <w:p>
      <w:pPr>
        <w:spacing w:after="100" w:before="0"/>
        <w:jc w:val="center"/>
      </w:pPr>
      <w:r>
        <w:rPr>
          <w:b w:val="0"/>
          <w:i/>
          <w:color w:val="606060"/>
          <w:sz w:val="19"/>
        </w:rPr>
        <w:t>October 9, 2026  ·  Exos Aerospace Systems &amp; Technologies, Inc.</w:t>
      </w:r>
    </w:p>
    <w:p>
      <w:pPr>
        <w:keepNext/>
        <w:spacing w:after="60" w:before="120"/>
      </w:pPr>
      <w:r>
        <w:rPr>
          <w:b/>
          <w:i w:val="0"/>
          <w:color w:val="1F3A68"/>
          <w:sz w:val="24"/>
        </w:rPr>
        <w:t>1.  What SSLC Holders Receive</w:t>
      </w:r>
    </w:p>
    <w:p>
      <w:pPr>
        <w:spacing w:after="60" w:before="0"/>
      </w:pPr>
      <w:r>
        <w:rPr>
          <w:b w:val="0"/>
          <w:i/>
          <w:color w:val="2E75B6"/>
          <w:sz w:val="19"/>
        </w:rPr>
        <w:t>Up-front price reflects today's numbers; earn-outs let SSLC holders share directly in tank deliveries, revenue milestones, and the Exos listing.</w:t>
      </w:r>
    </w:p>
    <w:p>
      <w:pPr>
        <w:spacing w:after="40" w:before="0"/>
      </w:pPr>
      <w:r>
        <w:rPr>
          <w:b w:val="0"/>
          <w:i/>
          <w:color w:val="606060"/>
          <w:sz w:val="15"/>
        </w:rPr>
        <w:t>Earn-out rows: negotiating terms — management assumptions. Each milestone is independently verifiable; none pay unless the trigger is met.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0"/>
        <w:gridCol w:w="1152"/>
        <w:gridCol w:w="1152"/>
        <w:gridCol w:w="1152"/>
        <w:gridCol w:w="2664"/>
      </w:tblGrid>
      <w:tr>
        <w:tc>
          <w:tcPr>
            <w:tcW w:type="dxa" w:w="3240"/>
            <w:shd w:val="clear" w:color="auto" w:fill="1F3A68"/>
          </w:tcPr>
          <w:p>
            <w:r/>
            <w:r>
              <w:rPr>
                <w:b/>
                <w:color w:val="FFFFFF"/>
                <w:sz w:val="16"/>
              </w:rPr>
              <w:t>Component</w:t>
            </w:r>
          </w:p>
        </w:tc>
        <w:tc>
          <w:tcPr>
            <w:tcW w:type="dxa" w:w="1152"/>
            <w:shd w:val="clear" w:color="auto" w:fill="1F3A68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152"/>
            <w:shd w:val="clear" w:color="auto" w:fill="1F3A68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Base</w:t>
            </w:r>
          </w:p>
        </w:tc>
        <w:tc>
          <w:tcPr>
            <w:tcW w:type="dxa" w:w="1152"/>
            <w:shd w:val="clear" w:color="auto" w:fill="1F3A68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2664"/>
            <w:shd w:val="clear" w:color="auto" w:fill="1F3A68"/>
          </w:tcPr>
          <w:p>
            <w:r/>
            <w:r>
              <w:rPr>
                <w:b/>
                <w:color w:val="FFFFFF"/>
                <w:sz w:val="16"/>
              </w:rPr>
              <w:t>When / Notes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Cash at close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$2,510K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$2,510K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$2,510K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 ~Q1 FY27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SSLC transaction costs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$60K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$60K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$60K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Close; seller-side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Credit for Exos's existing stake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$790K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$790K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$790K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 (non-cash credit)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SSLC debts paid at face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Close; ~$500K TBV in QB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Working-capital bridge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</w:t>
            </w:r>
          </w:p>
        </w:tc>
      </w:tr>
      <w:tr>
        <w:tc>
          <w:tcPr>
            <w:tcW w:type="dxa" w:w="3240"/>
            <w:shd w:val="clear" w:color="auto" w:fill="F3F4F6"/>
          </w:tcPr>
          <w:p>
            <w:r/>
            <w:r>
              <w:rPr>
                <w:b/>
                <w:sz w:val="16"/>
              </w:rPr>
              <w:t>① Cash &amp; debt relief at close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$4,360K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$4,360K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$4,360K</w:t>
            </w:r>
          </w:p>
        </w:tc>
        <w:tc>
          <w:tcPr>
            <w:tcW w:type="dxa" w:w="2664"/>
            <w:shd w:val="clear" w:color="auto" w:fill="F3F4F6"/>
          </w:tcPr>
          <w:p>
            <w:r/>
            <w:r>
              <w:rPr>
                <w:b/>
                <w:sz w:val="16"/>
              </w:rPr>
              <w:t>Cash + costs + stake credit + debts + WC bridge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+ Exos equity — $1.0M fixed EAI units</w:t>
            </w:r>
            <w:r>
              <w:br/>
            </w:r>
            <w:r>
              <w:rPr>
                <w:sz w:val="16"/>
              </w:rPr>
              <w:t>(Rule 504, ~0.59% at 409A ~$170M)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$1,000K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$1,000K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$1,000K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EAI units issued as part of Exos's</w:t>
            </w:r>
            <w:r>
              <w:br/>
            </w:r>
            <w:r>
              <w:rPr>
                <w:sz w:val="16"/>
              </w:rPr>
              <w:t>Rule 504 offering, at the 409A value;</w:t>
            </w:r>
            <w:r>
              <w:br/>
            </w:r>
            <w:r>
              <w:rPr>
                <w:sz w:val="16"/>
              </w:rPr>
              <w:t>$1.0M counts toward Rule 504 $10M cap;</w:t>
            </w:r>
            <w:r>
              <w:br/>
            </w:r>
            <w:r>
              <w:rPr>
                <w:sz w:val="16"/>
              </w:rPr>
              <w:t>issued at financing close</w:t>
            </w:r>
          </w:p>
        </w:tc>
      </w:tr>
      <w:tr>
        <w:tc>
          <w:tcPr>
            <w:tcW w:type="dxa" w:w="3240"/>
            <w:shd w:val="clear" w:color="auto" w:fill="F3F4F6"/>
          </w:tcPr>
          <w:p>
            <w:r/>
            <w:r>
              <w:rPr>
                <w:b/>
                <w:sz w:val="16"/>
              </w:rPr>
              <w:t>② Total at financing close (① + equity)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$5,360K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$5,360K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$5,360K</w:t>
            </w:r>
          </w:p>
        </w:tc>
        <w:tc>
          <w:tcPr>
            <w:tcW w:type="dxa" w:w="2664"/>
            <w:shd w:val="clear" w:color="auto" w:fill="F3F4F6"/>
          </w:tcPr>
          <w:p>
            <w:r/>
            <w:r>
              <w:rPr>
                <w:b/>
                <w:sz w:val="16"/>
              </w:rPr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Tank earn-out (5 yrs, 5%/yr,</w:t>
            </w:r>
            <w:r>
              <w:br/>
            </w:r>
            <w:r>
              <w:rPr>
                <w:sz w:val="16"/>
              </w:rPr>
              <w:t>cap $300K/yr)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$750K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$1,250K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$1,500K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FY27–FY31; low 3%/base 5%/high</w:t>
            </w:r>
            <w:r>
              <w:br/>
            </w:r>
            <w:r>
              <w:rPr>
                <w:sz w:val="16"/>
              </w:rPr>
              <w:t>7% × IM rev; $300K/yr cap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M1: SSLC FY2026-27 rev</w:t>
            </w:r>
            <w:r>
              <w:br/>
            </w:r>
            <w:r>
              <w:rPr>
                <w:sz w:val="16"/>
              </w:rPr>
              <w:t>≥$5.1M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FY28 Q1 if verified</w:t>
            </w:r>
            <w:r>
              <w:br/>
            </w:r>
            <w:r>
              <w:rPr>
                <w:sz w:val="16"/>
              </w:rPr>
              <w:t>(all scenarios: mgmt base case)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M2: Nebula/OTV production</w:t>
            </w:r>
            <w:r>
              <w:br/>
            </w:r>
            <w:r>
              <w:rPr>
                <w:sz w:val="16"/>
              </w:rPr>
              <w:t>contract signed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at contract execution</w:t>
            </w:r>
            <w:r>
              <w:br/>
            </w:r>
            <w:r>
              <w:rPr>
                <w:sz w:val="16"/>
              </w:rPr>
              <w:t>(any year FY27–FY30)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M3: SSLC annual rev ≥$10M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$250K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$250K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first year threshold hit</w:t>
            </w:r>
            <w:r>
              <w:br/>
            </w:r>
            <w:r>
              <w:rPr>
                <w:sz w:val="16"/>
              </w:rPr>
              <w:t>(est. FY29 at base/high)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M4: SSLC annual rev ≥$20M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$250K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first year threshold hit</w:t>
            </w:r>
            <w:r>
              <w:br/>
            </w:r>
            <w:r>
              <w:rPr>
                <w:sz w:val="16"/>
              </w:rPr>
              <w:t>(est. FY31 at high)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M5: BLK3 tank qualification</w:t>
            </w:r>
            <w:r>
              <w:br/>
            </w:r>
            <w:r>
              <w:rPr>
                <w:sz w:val="16"/>
              </w:rPr>
              <w:t>complete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at Exos BLK3 tank cert</w:t>
            </w:r>
            <w:r>
              <w:br/>
            </w:r>
            <w:r>
              <w:rPr>
                <w:sz w:val="16"/>
              </w:rPr>
              <w:t>(est. FY27–FY28)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Exos stock earn-out at listing</w:t>
            </w:r>
            <w:r>
              <w:br/>
            </w:r>
            <w:r>
              <w:rPr>
                <w:sz w:val="16"/>
              </w:rPr>
              <w:t>(on top of ~0.59% EAI up-front)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$0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$625K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$1,500K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Post-RTO ~FY29; earn-out 0.0%/0.25%/0.5% FD; lockup same as Exos principals.</w:t>
            </w:r>
            <w:r>
              <w:br/>
            </w:r>
            <w:r>
              <w:rPr>
                <w:sz w:val="16"/>
              </w:rPr>
              <w:t>At 409A: $0/$424K/$848K. Total Exos equity: ~0.59%/~0.84%/~1.09%.</w:t>
            </w:r>
          </w:p>
        </w:tc>
      </w:tr>
      <w:tr>
        <w:tc>
          <w:tcPr>
            <w:tcW w:type="dxa" w:w="3240"/>
            <w:shd w:val="clear" w:color="auto" w:fill="D1FAE5"/>
          </w:tcPr>
          <w:p>
            <w:r/>
            <w:r>
              <w:rPr>
                <w:b/>
                <w:sz w:val="16"/>
              </w:rPr>
              <w:t>③ TOTAL OFFER VALUE, 5-yr</w:t>
            </w:r>
            <w:r>
              <w:br/>
            </w:r>
            <w:r>
              <w:rPr>
                <w:b/>
                <w:sz w:val="16"/>
              </w:rPr>
              <w:t>(② + earn-outs; earn-out stock at listing)</w:t>
            </w:r>
          </w:p>
        </w:tc>
        <w:tc>
          <w:tcPr>
            <w:tcW w:type="dxa" w:w="1152"/>
            <w:shd w:val="clear" w:color="auto" w:fill="D1FAE5"/>
          </w:tcPr>
          <w:p>
            <w:pPr>
              <w:jc w:val="right"/>
            </w:pPr>
            <w:r/>
            <w:r>
              <w:rPr>
                <w:b/>
                <w:sz w:val="16"/>
              </w:rPr>
              <w:t>$6,310K</w:t>
            </w:r>
          </w:p>
        </w:tc>
        <w:tc>
          <w:tcPr>
            <w:tcW w:type="dxa" w:w="1152"/>
            <w:shd w:val="clear" w:color="auto" w:fill="D1FAE5"/>
          </w:tcPr>
          <w:p>
            <w:pPr>
              <w:jc w:val="right"/>
            </w:pPr>
            <w:r/>
            <w:r>
              <w:rPr>
                <w:b/>
                <w:sz w:val="16"/>
              </w:rPr>
              <w:t>$7,885K</w:t>
            </w:r>
          </w:p>
        </w:tc>
        <w:tc>
          <w:tcPr>
            <w:tcW w:type="dxa" w:w="1152"/>
            <w:shd w:val="clear" w:color="auto" w:fill="D1FAE5"/>
          </w:tcPr>
          <w:p>
            <w:pPr>
              <w:jc w:val="right"/>
            </w:pPr>
            <w:r/>
            <w:r>
              <w:rPr>
                <w:b/>
                <w:sz w:val="16"/>
              </w:rPr>
              <w:t>$9,460K</w:t>
            </w:r>
          </w:p>
        </w:tc>
        <w:tc>
          <w:tcPr>
            <w:tcW w:type="dxa" w:w="2664"/>
            <w:shd w:val="clear" w:color="auto" w:fill="D1FAE5"/>
          </w:tcPr>
          <w:p>
            <w:r/>
            <w:r>
              <w:rPr>
                <w:b/>
                <w:sz w:val="16"/>
              </w:rPr>
              <w:t>FY27–FY31. HIGH &lt; $10M target — not rebalanced.</w:t>
            </w:r>
          </w:p>
        </w:tc>
      </w:tr>
      <w:tr>
        <w:tc>
          <w:tcPr>
            <w:tcW w:type="dxa" w:w="3240"/>
            <w:shd w:val="clear" w:color="auto" w:fill="FBD2BC"/>
          </w:tcPr>
          <w:p>
            <w:r/>
            <w:r>
              <w:rPr>
                <w:b/>
                <w:color w:val="1F3A68"/>
                <w:sz w:val="16"/>
              </w:rPr>
              <w:t>IF HELD: all Exos stock projected</w:t>
            </w:r>
            <w:r>
              <w:br/>
            </w:r>
            <w:r>
              <w:rPr>
                <w:b/>
                <w:color w:val="1F3A68"/>
                <w:sz w:val="16"/>
              </w:rPr>
              <w:t>in FY2031 (replaces listing earn-out)</w:t>
            </w:r>
          </w:p>
        </w:tc>
        <w:tc>
          <w:tcPr>
            <w:tcW w:type="dxa" w:w="1152"/>
            <w:shd w:val="clear" w:color="auto" w:fill="FBD2BC"/>
          </w:tcPr>
          <w:p>
            <w:pPr>
              <w:jc w:val="right"/>
            </w:pPr>
            <w:r/>
            <w:r>
              <w:rPr>
                <w:b/>
                <w:color w:val="1F3A68"/>
                <w:sz w:val="16"/>
              </w:rPr>
              <w:t>$6.7M</w:t>
            </w:r>
          </w:p>
        </w:tc>
        <w:tc>
          <w:tcPr>
            <w:tcW w:type="dxa" w:w="1152"/>
            <w:shd w:val="clear" w:color="auto" w:fill="FBD2BC"/>
          </w:tcPr>
          <w:p>
            <w:pPr>
              <w:jc w:val="right"/>
            </w:pPr>
            <w:r/>
            <w:r>
              <w:rPr>
                <w:b/>
                <w:color w:val="1F3A68"/>
                <w:sz w:val="16"/>
              </w:rPr>
              <w:t>$9.6M</w:t>
            </w:r>
          </w:p>
        </w:tc>
        <w:tc>
          <w:tcPr>
            <w:tcW w:type="dxa" w:w="1152"/>
            <w:shd w:val="clear" w:color="auto" w:fill="FBD2BC"/>
          </w:tcPr>
          <w:p>
            <w:pPr>
              <w:jc w:val="right"/>
            </w:pPr>
            <w:r/>
            <w:r>
              <w:rPr>
                <w:b/>
                <w:color w:val="1F3A68"/>
                <w:sz w:val="16"/>
              </w:rPr>
              <w:t>$12.4M</w:t>
            </w:r>
          </w:p>
        </w:tc>
        <w:tc>
          <w:tcPr>
            <w:tcW w:type="dxa" w:w="2664"/>
            <w:shd w:val="clear" w:color="auto" w:fill="FBD2BC"/>
          </w:tcPr>
          <w:p>
            <w:r/>
            <w:r>
              <w:rPr>
                <w:b/>
                <w:color w:val="1F3A68"/>
                <w:sz w:val="16"/>
              </w:rPr>
              <w:t>Total stake ~0.59/0.84/1.09% → ~0.41/0.59/0.76% after</w:t>
            </w:r>
            <w:r>
              <w:br/>
            </w:r>
            <w:r>
              <w:rPr>
                <w:b/>
                <w:color w:val="1F3A68"/>
                <w:sz w:val="16"/>
              </w:rPr>
              <w:t>~30% dilution × ~$1.63B FY31 EV (16× v12 EBITDA).</w:t>
            </w:r>
            <w:r>
              <w:br/>
            </w:r>
            <w:r>
              <w:rPr>
                <w:b/>
                <w:color w:val="1F3A68"/>
                <w:sz w:val="16"/>
              </w:rPr>
              <w:t>Projection only; on SSLC-actuals case ~$0.7–1.3M.</w:t>
            </w:r>
          </w:p>
        </w:tc>
      </w:tr>
      <w:tr>
        <w:tc>
          <w:tcPr>
            <w:tcW w:type="dxa" w:w="3240"/>
            <w:shd w:val="clear" w:color="auto" w:fill="F26A21"/>
          </w:tcPr>
          <w:p>
            <w:r/>
            <w:r>
              <w:rPr>
                <w:b/>
                <w:color w:val="FFFFFF"/>
                <w:sz w:val="16"/>
              </w:rPr>
              <w:t>④ TOTAL IF STOCK HELD TO 2031</w:t>
            </w:r>
            <w:r>
              <w:br/>
            </w:r>
            <w:r>
              <w:rPr>
                <w:b/>
                <w:color w:val="FFFFFF"/>
                <w:sz w:val="16"/>
              </w:rPr>
              <w:t>(① + tank + milestones + 2031 stock)</w:t>
            </w:r>
          </w:p>
        </w:tc>
        <w:tc>
          <w:tcPr>
            <w:tcW w:type="dxa" w:w="1152"/>
            <w:shd w:val="clear" w:color="auto" w:fill="F26A21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$12.0M</w:t>
            </w:r>
          </w:p>
        </w:tc>
        <w:tc>
          <w:tcPr>
            <w:tcW w:type="dxa" w:w="1152"/>
            <w:shd w:val="clear" w:color="auto" w:fill="F26A21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$15.8M</w:t>
            </w:r>
          </w:p>
        </w:tc>
        <w:tc>
          <w:tcPr>
            <w:tcW w:type="dxa" w:w="1152"/>
            <w:shd w:val="clear" w:color="auto" w:fill="F26A21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$19.4M</w:t>
            </w:r>
          </w:p>
        </w:tc>
        <w:tc>
          <w:tcPr>
            <w:tcW w:type="dxa" w:w="2664"/>
            <w:shd w:val="clear" w:color="auto" w:fill="F26A21"/>
          </w:tcPr>
          <w:p>
            <w:r/>
            <w:r>
              <w:rPr>
                <w:b/>
                <w:color w:val="FFFFFF"/>
                <w:sz w:val="16"/>
              </w:rPr>
              <w:t>Alternative to ③, NOT added to it. Forward-looking</w:t>
            </w:r>
            <w:r>
              <w:br/>
            </w:r>
            <w:r>
              <w:rPr>
                <w:b/>
                <w:color w:val="FFFFFF"/>
                <w:sz w:val="16"/>
              </w:rPr>
              <w:t>projection, not a promise; RTO may not close.</w:t>
            </w:r>
          </w:p>
        </w:tc>
      </w:tr>
    </w:tbl>
    <w:p>
      <w:pPr>
        <w:spacing w:after="60" w:before="0"/>
      </w:pPr>
    </w:p>
    <w:p>
      <w:pPr>
        <w:spacing w:after="40" w:before="0"/>
      </w:pPr>
      <w:r>
        <w:rPr>
          <w:b w:val="0"/>
          <w:i/>
          <w:color w:val="606060"/>
          <w:sz w:val="17"/>
        </w:rPr>
        <w:t>Why this structure: SSLC holders receive real Exos equity at close ($1.0M EAI units, ~0.59% of $169.7M 409A, issued as part of Exos's Rule 504 offering) — not only contingent upside. It aligns them with Exos immediately. The earn-out stock stays 0.0–0.5%, so total equity is ~0.59–1.09%.</w:t>
      </w:r>
    </w:p>
    <w:p>
      <w:pPr>
        <w:spacing w:after="40" w:before="0"/>
      </w:pPr>
      <w:r>
        <w:rPr>
          <w:b w:val="0"/>
          <w:i/>
          <w:color w:val="606060"/>
          <w:sz w:val="17"/>
        </w:rPr>
        <w:t>Chart: SSLC_OptionB_Total_Compensation_5yr_2026-10-07.png  ·  Full model: EXOS_SSLC_OptionB_Acquisition_Model_2026-10-07.xlsx → 'Total Compensation' sheet  ·  IM program continuity: Exos-SSLC continues the Intuitive Machines contract with no delivery interruption.</w:t>
      </w:r>
    </w:p>
    <w:p>
      <w:pPr>
        <w:keepNext/>
        <w:spacing w:after="60" w:before="60"/>
      </w:pPr>
      <w:r>
        <w:rPr>
          <w:b/>
          <w:i w:val="0"/>
          <w:color w:val="1F3A68"/>
          <w:sz w:val="24"/>
        </w:rPr>
        <w:t>3.  Key Terms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36"/>
        <w:gridCol w:w="5903"/>
      </w:tblGrid>
      <w:tr>
        <w:tc>
          <w:tcPr>
            <w:tcW w:type="dxa" w:w="2736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5904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Agreement basis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May 2025 Asset Acquisition Agreement, §3 exclusivity trigger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Total commitment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$5,360,000 base at close ($2.51M cash + $60K costs + $790K Exos stake credit + $500K WC + $1.0M EAI equity at 409A, Rule 504)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Exclusivity period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90 days from SSLC confirmation; extension not unreasonably withheld (§3)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Holdback (§7)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5% escrow, released at 12-month anniversary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SSLC debts assumed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Paid at face at close (est. ~$500K; verify QuickBooks)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SSLC employees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Exos offers employment to SSLC employees on terms no less favorable than current (incl. comp &amp; benefits), subject to Exos hiring policies + confirmatory diligence; key-employee option pool set in the Definitive Agreement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DRAFT — NEGOTIATING TERMS — not a final or binding offer</w:t>
            </w:r>
          </w:p>
        </w:tc>
      </w:tr>
    </w:tbl>
    <w:p>
      <w:pPr>
        <w:spacing w:after="60" w:before="0"/>
      </w:pPr>
    </w:p>
    <w:p>
      <w:pPr>
        <w:spacing w:after="40" w:before="0"/>
      </w:pPr>
      <w:r>
        <w:rPr>
          <w:b w:val="0"/>
          <w:i/>
          <w:color w:val="606060"/>
          <w:sz w:val="17"/>
        </w:rPr>
        <w:t>504 cap: $1.0M counts toward the Rule 504 $10M rolling 12-month cap; confirm remaining capacity. Rule 504 is U.S.-only; EAI units in the Japan round are Reg S — the two must remain distinct. See model → 'EAI Lockup &amp; Liquidity' sheet for full detail.</w:t>
      </w:r>
    </w:p>
    <w:p>
      <w:pPr>
        <w:keepNext/>
        <w:spacing w:after="60" w:before="60"/>
      </w:pPr>
      <w:r>
        <w:rPr>
          <w:b/>
          <w:i w:val="0"/>
          <w:color w:val="1F3A68"/>
          <w:sz w:val="24"/>
        </w:rPr>
        <w:t>4.  EAI Unit Lockup &amp; Liquidity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Part of the public float at going public.  </w:t>
      </w:r>
      <w:r>
        <w:t>The $1.0M EAI units are structured to provide part of the float for the Exos RTO and become freely tradeable at going public (the RTO listing). No principals' lockup applies: locked-up shares would not count as public float. Requires the RTO resale registration to include the units.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Restricted at issuance — Rule 504 Reg D.  </w:t>
      </w:r>
      <w:r>
        <w:t>Units carry a restrictive legend at issuance and are not freely tradeable prior to the RTO listing. Rule 504 ref: https://www.sec.gov/resources-small-businesses/exempt-offerings/exemption-limited-offerings-not-exceeding-10-million-rule-504-regulation-d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44"/>
        <w:gridCol w:w="5616"/>
      </w:tblGrid>
      <w:tr>
        <w:tc>
          <w:tcPr>
            <w:tcW w:type="dxa" w:w="3744"/>
            <w:shd w:val="clear" w:color="auto" w:fill="375623"/>
          </w:tcPr>
          <w:p>
            <w:r/>
            <w:r>
              <w:rPr>
                <w:b/>
                <w:color w:val="FFFFFF"/>
                <w:sz w:val="18"/>
              </w:rPr>
              <w:t>Milestone</w:t>
            </w:r>
          </w:p>
        </w:tc>
        <w:tc>
          <w:tcPr>
            <w:tcW w:type="dxa" w:w="5616"/>
            <w:shd w:val="clear" w:color="auto" w:fill="375623"/>
          </w:tcPr>
          <w:p>
            <w:r/>
            <w:r>
              <w:rPr>
                <w:b/>
                <w:color w:val="FFFFFF"/>
                <w:sz w:val="18"/>
              </w:rPr>
              <w:t>Target / Status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b/>
                <w:sz w:val="18"/>
              </w:rPr>
              <w:t>Board acceptance</w:t>
            </w:r>
          </w:p>
        </w:tc>
        <w:tc>
          <w:tcPr>
            <w:tcW w:type="dxa" w:w="5616"/>
          </w:tcPr>
          <w:p>
            <w:r/>
            <w:r>
              <w:rPr>
                <w:sz w:val="18"/>
              </w:rPr>
              <w:t>D+0 — units committed; not yet issued</w:t>
            </w:r>
          </w:p>
        </w:tc>
      </w:tr>
      <w:tr>
        <w:tc>
          <w:tcPr>
            <w:tcW w:type="dxa" w:w="3744"/>
          </w:tcPr>
          <w:p>
            <w:r/>
            <w:r>
              <w:rPr>
                <w:b/>
                <w:sz w:val="18"/>
              </w:rPr>
              <w:t>Financing close — units issued</w:t>
            </w:r>
          </w:p>
        </w:tc>
        <w:tc>
          <w:tcPr>
            <w:tcW w:type="dxa" w:w="5616"/>
          </w:tcPr>
          <w:p>
            <w:r/>
            <w:r>
              <w:rPr>
                <w:sz w:val="18"/>
              </w:rPr>
              <w:t>Targeted Q1 FY27; units issued as restricted/legended securities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b/>
                <w:sz w:val="18"/>
              </w:rPr>
              <w:t>Targeted RTO close</w:t>
            </w:r>
          </w:p>
        </w:tc>
        <w:tc>
          <w:tcPr>
            <w:tcW w:type="dxa" w:w="5616"/>
          </w:tcPr>
          <w:p>
            <w:r/>
            <w:r>
              <w:rPr>
                <w:sz w:val="18"/>
              </w:rPr>
              <w:t>~6 months post-financing (targeted, not assured)</w:t>
            </w:r>
          </w:p>
        </w:tc>
      </w:tr>
      <w:tr>
        <w:tc>
          <w:tcPr>
            <w:tcW w:type="dxa" w:w="3744"/>
          </w:tcPr>
          <w:p>
            <w:r/>
            <w:r>
              <w:rPr>
                <w:b/>
                <w:sz w:val="18"/>
              </w:rPr>
              <w:t>Units tradeable at going public</w:t>
            </w:r>
          </w:p>
        </w:tc>
        <w:tc>
          <w:tcPr>
            <w:tcW w:type="dxa" w:w="5616"/>
          </w:tcPr>
          <w:p>
            <w:r/>
            <w:r>
              <w:rPr>
                <w:sz w:val="18"/>
              </w:rPr>
              <w:t>At RTO listing: part of the public float, freely tradeable (no lockup); covered by RTO resale registration</w:t>
            </w:r>
          </w:p>
        </w:tc>
      </w:tr>
      <w:tr>
        <w:tc>
          <w:tcPr>
            <w:tcW w:type="dxa" w:w="3744"/>
          </w:tcPr>
          <w:p>
            <w:r/>
            <w:r>
              <w:rPr>
                <w:b/>
                <w:sz w:val="18"/>
              </w:rPr>
              <w:t>ALL DATES</w:t>
            </w:r>
          </w:p>
        </w:tc>
        <w:tc>
          <w:tcPr>
            <w:tcW w:type="dxa" w:w="5616"/>
          </w:tcPr>
          <w:p>
            <w:r/>
            <w:r>
              <w:rPr>
                <w:sz w:val="18"/>
              </w:rPr>
              <w:t>Targeted, not assured. RTO may not close.</w:t>
            </w:r>
          </w:p>
        </w:tc>
      </w:tr>
    </w:tbl>
    <w:p>
      <w:pPr>
        <w:spacing w:after="60" w:before="0"/>
      </w:pPr>
    </w:p>
    <w:p>
      <w:pPr>
        <w:keepNext/>
        <w:spacing w:after="60" w:before="60"/>
      </w:pPr>
      <w:r>
        <w:rPr>
          <w:b/>
          <w:i w:val="0"/>
          <w:color w:val="1F3A68"/>
          <w:sz w:val="24"/>
        </w:rPr>
        <w:t>5.  Projected Post-RTO Value  (Projection — Not a Promise)</w:t>
      </w:r>
    </w:p>
    <w:p>
      <w:pPr>
        <w:spacing w:after="40" w:before="0"/>
      </w:pPr>
      <w:r>
        <w:rPr>
          <w:b w:val="0"/>
          <w:i/>
          <w:color w:val="606060"/>
          <w:sz w:val="17"/>
        </w:rPr>
        <w:t>Forward-looking projection — management assumptions (RTO completion, listing valuation, ~30% dilution). Not a guarantee; actual results may differ. RTO may not close. SEC Rule 10b-5, 17 CFR 240.10b-5 (https://www.ecfr.gov/current/title-17/chapter-II/part-240/section-240.10b-5) antifraud rules apply. 409A issuance value: $1.0M fixed (~0.59%). Up-front EAI only; earn-out column is additional, at listing, pre-dilution.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24"/>
        <w:gridCol w:w="1224"/>
        <w:gridCol w:w="1584"/>
        <w:gridCol w:w="1872"/>
        <w:gridCol w:w="2015"/>
      </w:tblGrid>
      <w:tr>
        <w:tc>
          <w:tcPr>
            <w:tcW w:type="dxa" w:w="1224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1224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RTO MEV</w:t>
            </w:r>
          </w:p>
        </w:tc>
        <w:tc>
          <w:tcPr>
            <w:tcW w:type="dxa" w:w="1584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~0.59% pre-dil</w:t>
            </w:r>
          </w:p>
        </w:tc>
        <w:tc>
          <w:tcPr>
            <w:tcW w:type="dxa" w:w="1872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~0.59% post-dil</w:t>
              <w:br/>
              <w:t>(~30% dil)</w:t>
            </w:r>
          </w:p>
        </w:tc>
        <w:tc>
          <w:tcPr>
            <w:tcW w:type="dxa" w:w="2016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+ earn-out at listing</w:t>
            </w:r>
          </w:p>
        </w:tc>
      </w:tr>
      <w:tr>
        <w:tc>
          <w:tcPr>
            <w:tcW w:type="dxa" w:w="1224"/>
          </w:tcPr>
          <w:p>
            <w:r/>
            <w:r>
              <w:rPr>
                <w:b/>
                <w:sz w:val="18"/>
              </w:rPr>
              <w:t>Low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$200M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$1.18M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$0.83M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$0 (0.0%)</w:t>
            </w:r>
          </w:p>
        </w:tc>
      </w:tr>
      <w:tr>
        <w:tc>
          <w:tcPr>
            <w:tcW w:type="dxa" w:w="1224"/>
          </w:tcPr>
          <w:p>
            <w:r/>
            <w:r>
              <w:rPr>
                <w:b/>
                <w:sz w:val="18"/>
              </w:rPr>
              <w:t>Base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$250M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$1.47M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$1.03M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+$625K (0.25% @ $250M)</w:t>
            </w:r>
          </w:p>
        </w:tc>
      </w:tr>
      <w:tr>
        <w:tc>
          <w:tcPr>
            <w:tcW w:type="dxa" w:w="1224"/>
          </w:tcPr>
          <w:p>
            <w:r/>
            <w:r>
              <w:rPr>
                <w:b/>
                <w:sz w:val="18"/>
              </w:rPr>
              <w:t>High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$300M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$1.77M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$1.24M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+$1,500K (0.50% @ $300M)</w:t>
            </w:r>
          </w:p>
        </w:tc>
      </w:tr>
    </w:tbl>
    <w:p>
      <w:pPr>
        <w:spacing w:after="60" w:before="0"/>
      </w:pPr>
    </w:p>
    <w:p>
      <w:pPr>
        <w:spacing w:after="40" w:before="0"/>
      </w:pPr>
      <w:r>
        <w:rPr>
          <w:b w:val="0"/>
          <w:i/>
          <w:color w:val="606060"/>
          <w:sz w:val="17"/>
        </w:rPr>
        <w:t>Detail in model: drafts/EXOS_SSLC_OptionB_Acquisition_Model_2026-10-07.xlsx  ·  With-vs-Without comparison: sheet 'With vs Without Exos Capital'  ·  Exclusivity rescue options: SSLC_Exclusivity_Rescue_Options_and_Draft_Message_2026-10-07_DRAFT_v2.docx</w:t>
      </w:r>
    </w:p>
    <w:p>
      <w:pPr>
        <w:spacing w:after="0" w:before="80"/>
        <w:jc w:val="center"/>
      </w:pPr>
      <w:r>
        <w:rPr>
          <w:b/>
          <w:i w:val="0"/>
          <w:color w:val="C00000"/>
          <w:sz w:val="17"/>
        </w:rPr>
        <w:t>DRAFT — INTERNAL — NEGOTIATING TERMS — John Quinn, CEO, Exos Aerospace — 2026-10-09</w:t>
      </w:r>
    </w:p>
    <w:sectPr w:rsidR="00D02269" w:rsidRPr="007C623E" w:rsidSect="006E0F85">
      <w:headerReference w:type="default" r:id="rId12"/>
      <w:footerReference w:type="default" r:id="rId14"/>
      <w:pgSz w:w="12240" w:h="15840"/>
      <w:pgMar w:top="1584" w:right="576" w:bottom="1512" w:left="1440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5A9F3A" w14:textId="77777777" w:rsidR="00A928DF" w:rsidRDefault="00A928DF" w:rsidP="00A00680">
      <w:r>
        <w:separator/>
      </w:r>
    </w:p>
  </w:endnote>
  <w:endnote w:type="continuationSeparator" w:id="0">
    <w:p w14:paraId="7F79A9D2" w14:textId="77777777" w:rsidR="00A928DF" w:rsidRDefault="00A928DF" w:rsidP="00A006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77A47" w14:textId="77777777" w:rsidR="007D3D8F" w:rsidRDefault="007D3D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6FC7E1" w14:textId="041F3336" w:rsidR="00153AFE" w:rsidRDefault="00153AFE" w:rsidP="00153AFE">
    <w:pPr>
      <w:pStyle w:val="Footer"/>
    </w:pPr>
  </w:p>
  <w:p w14:paraId="7E53FDB1" w14:textId="05BAE708" w:rsidR="00153AFE" w:rsidRPr="00AD1D32" w:rsidRDefault="00153AFE" w:rsidP="00153AFE">
    <w:pPr>
      <w:pStyle w:val="Footer"/>
    </w:pPr>
  </w:p>
  <w:p w14:paraId="5BED68FB" w14:textId="3BFC5E88" w:rsidR="00153AFE" w:rsidRDefault="005205E5" w:rsidP="005205E5">
    <w:pPr>
      <w:pStyle w:val="Footer"/>
      <w:jc w:val="center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7387259" wp14:editId="5BC35EEC">
          <wp:simplePos x="0" y="0"/>
          <wp:positionH relativeFrom="page">
            <wp:align>right</wp:align>
          </wp:positionH>
          <wp:positionV relativeFrom="paragraph">
            <wp:posOffset>63690</wp:posOffset>
          </wp:positionV>
          <wp:extent cx="3425190" cy="561150"/>
          <wp:effectExtent l="0" t="0" r="0" b="0"/>
          <wp:wrapNone/>
          <wp:docPr id="1274565867" name="Picture 1274565867" descr="exos-letterhea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exosletterhead_foot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425190" cy="5611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37924" w14:textId="77777777" w:rsidR="007D3D8F" w:rsidRDefault="007D3D8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55324B" w14:textId="77777777" w:rsidR="00A928DF" w:rsidRDefault="00A928DF" w:rsidP="00A00680">
      <w:r>
        <w:separator/>
      </w:r>
    </w:p>
  </w:footnote>
  <w:footnote w:type="continuationSeparator" w:id="0">
    <w:p w14:paraId="2BD1F19D" w14:textId="77777777" w:rsidR="00A928DF" w:rsidRDefault="00A928DF" w:rsidP="00A006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16660" w14:textId="77777777" w:rsidR="007D3D8F" w:rsidRDefault="007D3D8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0C9F5" w14:textId="096499BE" w:rsidR="00147251" w:rsidRPr="000E6BAA" w:rsidRDefault="00147251" w:rsidP="00147251">
    <w:pPr>
      <w:pStyle w:val="Header"/>
      <w:tabs>
        <w:tab w:val="left" w:pos="2874"/>
        <w:tab w:val="right" w:pos="4680"/>
        <w:tab w:val="right" w:pos="10224"/>
      </w:tabs>
      <w:rPr>
        <w:rFonts w:ascii="Tahoma" w:hAnsi="Tahoma" w:cs="Tahoma"/>
        <w:color w:val="808080" w:themeColor="background1" w:themeShade="80"/>
      </w:rPr>
    </w:pPr>
    <w:r w:rsidRPr="000E6BAA">
      <w:rPr>
        <w:rFonts w:ascii="Tahoma" w:hAnsi="Tahoma" w:cs="Tahoma"/>
        <w:noProof/>
        <w:color w:val="808080" w:themeColor="background1" w:themeShade="80"/>
      </w:rPr>
      <w:drawing>
        <wp:anchor distT="0" distB="0" distL="114300" distR="114300" simplePos="0" relativeHeight="251658240" behindDoc="1" locked="0" layoutInCell="1" allowOverlap="1" wp14:anchorId="24C38B4E" wp14:editId="74402038">
          <wp:simplePos x="0" y="0"/>
          <wp:positionH relativeFrom="column">
            <wp:posOffset>-902970</wp:posOffset>
          </wp:positionH>
          <wp:positionV relativeFrom="paragraph">
            <wp:posOffset>-468629</wp:posOffset>
          </wp:positionV>
          <wp:extent cx="2880360" cy="594844"/>
          <wp:effectExtent l="0" t="0" r="0" b="0"/>
          <wp:wrapNone/>
          <wp:docPr id="624236723" name="Picture 624236723" descr="exos-letterhea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exosletterhead_head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96129" cy="59810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</w:p>
  <w:p w14:paraId="77BB0A6B" w14:textId="1AFFC7D2" w:rsidR="000E6BAA" w:rsidRPr="000E6BAA" w:rsidRDefault="000E6BAA" w:rsidP="00BD08F1">
    <w:pPr>
      <w:pStyle w:val="Header"/>
      <w:jc w:val="center"/>
      <w:rPr>
        <w:rFonts w:ascii="Tahoma" w:hAnsi="Tahoma" w:cs="Tahoma"/>
        <w:color w:val="808080" w:themeColor="background1" w:themeShade="8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06036" w14:textId="77777777" w:rsidR="007D3D8F" w:rsidRDefault="007D3D8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23731"/>
    <w:multiLevelType w:val="multilevel"/>
    <w:tmpl w:val="2A1A6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A16D92"/>
    <w:multiLevelType w:val="multilevel"/>
    <w:tmpl w:val="B816D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8E4D6A"/>
    <w:multiLevelType w:val="multilevel"/>
    <w:tmpl w:val="3E801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4803D6"/>
    <w:multiLevelType w:val="hybridMultilevel"/>
    <w:tmpl w:val="B3DECB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E823CD"/>
    <w:multiLevelType w:val="multilevel"/>
    <w:tmpl w:val="51744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830758"/>
    <w:multiLevelType w:val="multilevel"/>
    <w:tmpl w:val="B36A8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5A6222"/>
    <w:multiLevelType w:val="multilevel"/>
    <w:tmpl w:val="086C5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D15241"/>
    <w:multiLevelType w:val="multilevel"/>
    <w:tmpl w:val="B8C83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9E40D4"/>
    <w:multiLevelType w:val="multilevel"/>
    <w:tmpl w:val="9280E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566CEB"/>
    <w:multiLevelType w:val="multilevel"/>
    <w:tmpl w:val="7E2A7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A732D0"/>
    <w:multiLevelType w:val="multilevel"/>
    <w:tmpl w:val="2D40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4A1CBE"/>
    <w:multiLevelType w:val="multilevel"/>
    <w:tmpl w:val="97647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EA4EB0"/>
    <w:multiLevelType w:val="multilevel"/>
    <w:tmpl w:val="DB7E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8644693">
    <w:abstractNumId w:val="3"/>
  </w:num>
  <w:num w:numId="2" w16cid:durableId="1353528203">
    <w:abstractNumId w:val="1"/>
  </w:num>
  <w:num w:numId="3" w16cid:durableId="1015813018">
    <w:abstractNumId w:val="7"/>
  </w:num>
  <w:num w:numId="4" w16cid:durableId="2015566524">
    <w:abstractNumId w:val="4"/>
  </w:num>
  <w:num w:numId="5" w16cid:durableId="870142476">
    <w:abstractNumId w:val="8"/>
  </w:num>
  <w:num w:numId="6" w16cid:durableId="692537600">
    <w:abstractNumId w:val="9"/>
  </w:num>
  <w:num w:numId="7" w16cid:durableId="22829662">
    <w:abstractNumId w:val="6"/>
  </w:num>
  <w:num w:numId="8" w16cid:durableId="1236429732">
    <w:abstractNumId w:val="0"/>
  </w:num>
  <w:num w:numId="9" w16cid:durableId="813722674">
    <w:abstractNumId w:val="5"/>
  </w:num>
  <w:num w:numId="10" w16cid:durableId="1891838380">
    <w:abstractNumId w:val="12"/>
  </w:num>
  <w:num w:numId="11" w16cid:durableId="1136295167">
    <w:abstractNumId w:val="11"/>
  </w:num>
  <w:num w:numId="12" w16cid:durableId="111945368">
    <w:abstractNumId w:val="2"/>
  </w:num>
  <w:num w:numId="13" w16cid:durableId="3752823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28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zO3NDUzNDQ0tzQzMjNV0lEKTi0uzszPAykwrAUA/DiwziwAAAA="/>
  </w:docVars>
  <w:rsids>
    <w:rsidRoot w:val="00347922"/>
    <w:rsid w:val="000D2A14"/>
    <w:rsid w:val="000D3330"/>
    <w:rsid w:val="000E645B"/>
    <w:rsid w:val="000E6BAA"/>
    <w:rsid w:val="001316D3"/>
    <w:rsid w:val="00147251"/>
    <w:rsid w:val="00153AFE"/>
    <w:rsid w:val="00166FF3"/>
    <w:rsid w:val="001C45E9"/>
    <w:rsid w:val="001C5A7E"/>
    <w:rsid w:val="001F4FE4"/>
    <w:rsid w:val="001F5095"/>
    <w:rsid w:val="00255B59"/>
    <w:rsid w:val="00265C2B"/>
    <w:rsid w:val="0029014E"/>
    <w:rsid w:val="002A2DC3"/>
    <w:rsid w:val="002A5D3B"/>
    <w:rsid w:val="00317CDE"/>
    <w:rsid w:val="00347922"/>
    <w:rsid w:val="0035562B"/>
    <w:rsid w:val="003834E3"/>
    <w:rsid w:val="00432689"/>
    <w:rsid w:val="00453A15"/>
    <w:rsid w:val="0045462F"/>
    <w:rsid w:val="00454EA1"/>
    <w:rsid w:val="00460E09"/>
    <w:rsid w:val="004B0C4B"/>
    <w:rsid w:val="005205E5"/>
    <w:rsid w:val="005C3232"/>
    <w:rsid w:val="005C77DB"/>
    <w:rsid w:val="00633CFF"/>
    <w:rsid w:val="00680BDE"/>
    <w:rsid w:val="006E0F85"/>
    <w:rsid w:val="00714763"/>
    <w:rsid w:val="007C623E"/>
    <w:rsid w:val="007D3D8F"/>
    <w:rsid w:val="008519E3"/>
    <w:rsid w:val="008D5214"/>
    <w:rsid w:val="008E1AFE"/>
    <w:rsid w:val="00905EFA"/>
    <w:rsid w:val="00961AC9"/>
    <w:rsid w:val="0098334F"/>
    <w:rsid w:val="00987FDA"/>
    <w:rsid w:val="009A7969"/>
    <w:rsid w:val="00A00680"/>
    <w:rsid w:val="00A21352"/>
    <w:rsid w:val="00A4282A"/>
    <w:rsid w:val="00A474CA"/>
    <w:rsid w:val="00A928DF"/>
    <w:rsid w:val="00AC6C96"/>
    <w:rsid w:val="00AF12DB"/>
    <w:rsid w:val="00B779D5"/>
    <w:rsid w:val="00B9321D"/>
    <w:rsid w:val="00BD08F1"/>
    <w:rsid w:val="00C321D3"/>
    <w:rsid w:val="00C8460F"/>
    <w:rsid w:val="00CD2C93"/>
    <w:rsid w:val="00D02269"/>
    <w:rsid w:val="00D82768"/>
    <w:rsid w:val="00DA7C10"/>
    <w:rsid w:val="00ED4B89"/>
    <w:rsid w:val="00EF2670"/>
    <w:rsid w:val="00F04389"/>
    <w:rsid w:val="00F17714"/>
    <w:rsid w:val="00F86327"/>
    <w:rsid w:val="00FE0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D176D9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hAnsi="Calibri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0068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680"/>
  </w:style>
  <w:style w:type="paragraph" w:styleId="Footer">
    <w:name w:val="footer"/>
    <w:basedOn w:val="Normal"/>
    <w:link w:val="FooterChar"/>
    <w:uiPriority w:val="99"/>
    <w:unhideWhenUsed/>
    <w:rsid w:val="00A0068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680"/>
  </w:style>
  <w:style w:type="paragraph" w:styleId="ListParagraph">
    <w:name w:val="List Paragraph"/>
    <w:basedOn w:val="Normal"/>
    <w:uiPriority w:val="34"/>
    <w:qFormat/>
    <w:rsid w:val="001F4FE4"/>
    <w:pPr>
      <w:spacing w:after="160" w:line="259" w:lineRule="auto"/>
      <w:ind w:left="720"/>
      <w:contextualSpacing/>
    </w:pPr>
    <w:rPr>
      <w:kern w:val="2"/>
      <w:sz w:val="22"/>
      <w:szCs w:val="22"/>
      <w14:ligatures w14:val="standardContextual"/>
    </w:rPr>
  </w:style>
  <w:style w:type="character" w:customStyle="1" w:styleId="text-token-text-secondary">
    <w:name w:val="text-token-text-secondary"/>
    <w:basedOn w:val="DefaultParagraphFont"/>
    <w:rsid w:val="001F4FE4"/>
  </w:style>
  <w:style w:type="character" w:styleId="Hyperlink">
    <w:name w:val="Hyperlink"/>
    <w:basedOn w:val="DefaultParagraphFont"/>
    <w:uiPriority w:val="99"/>
    <w:unhideWhenUsed/>
    <w:rsid w:val="001F4FE4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1F4FE4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1F4FE4"/>
    <w:rPr>
      <w:b/>
      <w:bCs/>
    </w:rPr>
  </w:style>
  <w:style w:type="character" w:styleId="UnresolvedMention">
    <w:name w:val="Unresolved Mention"/>
    <w:basedOn w:val="DefaultParagraphFont"/>
    <w:uiPriority w:val="99"/>
    <w:rsid w:val="00BD08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87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8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9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3" ma:contentTypeDescription="Create a new document." ma:contentTypeScope="" ma:versionID="263de4db15e980f31c7a9f0e35eb1966">
  <xsd:schema xmlns:xsd="http://www.w3.org/2001/XMLSchema" xmlns:xs="http://www.w3.org/2001/XMLSchema" xmlns:p="http://schemas.microsoft.com/office/2006/metadata/properties" xmlns:ns2="e1558a10-1879-455f-b4fa-cfdedf85505e" targetNamespace="http://schemas.microsoft.com/office/2006/metadata/properties" ma:root="true" ma:fieldsID="a929d5d4558f9b725dc8e1c5ef0a4e28" ns2:_="">
    <xsd:import namespace="e1558a10-1879-455f-b4fa-cfdedf8550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558a10-1879-455f-b4fa-cfdedf8550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716354C-C618-42C0-890C-B79BDC3B5D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558a10-1879-455f-b4fa-cfdedf8550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FE5F3B5-F71C-B54D-921B-25B8BE513B2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5C96887-8CC6-4F7F-BF09-CD8A4A0BF18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B38FABD-2EB8-4C41-9791-D9CBE1419BD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Huber</dc:creator>
  <cp:keywords/>
  <dc:description/>
  <cp:lastModifiedBy>John Quinn</cp:lastModifiedBy>
  <cp:revision>26</cp:revision>
  <dcterms:created xsi:type="dcterms:W3CDTF">2025-08-23T21:06:00Z</dcterms:created>
  <dcterms:modified xsi:type="dcterms:W3CDTF">2026-05-22T01:37:00Z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