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7,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 w:val="0"/>
          <w:sz w:val="20"/>
        </w:rPr>
        <w:t>The Exos offer delivers liquidity, relief, and upside across four dimensions — without requiring any additional capital call from current SSLC shareholders.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at close  </w:t>
      </w:r>
      <w:r>
        <w:t>$2,510,000 delivered to SSLC at acquisition close.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Debt relief  </w:t>
      </w:r>
      <w:r>
        <w:t>All SSLC debts paid at face value at close, including the Microcosm loan and Wertz notes (est. ~$500K, to be verified in QuickBooks). Jim Wertz's personal loans are made whole at closing.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Prepaid-work relief  </w:t>
      </w:r>
      <w:r>
        <w:t>$984,062 in already-billed and deposited work is assumed by Exos and funded to completion (Exos working-capital cost: $300K–$700K). SSLC customers receive uninterrupted delivery. No SSLC shareholder funds this obligation.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further capital calls  </w:t>
      </w:r>
      <w:r>
        <w:t>Once closed, SSLC's standalone cash drain stops. Shareholders stop funding a working-capital-negative entity.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Earn-out — IM tank revenue  </w:t>
      </w:r>
      <w:r>
        <w:t>5% of Intuitive Machines tank revenue for 3 years, capped at $300K/year (up to $900K total). Tied to SSLC's existing firm IM demand.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Earn-out — Exos stock  </w:t>
      </w:r>
      <w:r>
        <w:t>0.3%–0.7% of Exos fully diluted shares post-RTO listing (est. $600K–$2.1M at a $200M–$300M listing; $250M minimum MEV per Ainigma/FNEX mandate).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Exos shares + Y5 hold value  </w:t>
      </w:r>
      <w:r>
        <w:t>Stock earn-out is tradeable post-12-month lockup. At Eqvista's March 2026 EV/EBITDA 16× multiple, the v12 trajectory implies a significant FY31 enterprise value — the detail is in the model spreadsheet.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IM program continuity  </w:t>
      </w:r>
      <w:r>
        <w:t>No delivery interruption to Intuitive Machines; Exos-SSLC entity continues the contract, preserving SSLC's strongest commercial relationship.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2.  Why the Growth Trajectory Requires Exos Capital</w:t>
      </w:r>
    </w:p>
    <w:p>
      <w:pPr>
        <w:spacing w:after="60" w:before="0"/>
      </w:pPr>
      <w:r>
        <w:rPr>
          <w:b w:val="0"/>
          <w:i w:val="0"/>
          <w:sz w:val="20"/>
        </w:rPr>
        <w:t>The bottleneck is not the technology or the IM demand — it is working capital.  SSLC's most recent quarter (FY27 Q1) came in at $713K in revenue.  Hitting $5M for FY27 requires averaging $1.43M per quarter in Q2–Q4 — exactly 2.0× that pace — starting immediately.  That doubling is not achievable on SSLC's current $198K cash balance.</w:t>
      </w:r>
    </w:p>
    <w:p>
      <w:pPr>
        <w:spacing w:after="40" w:before="60"/>
      </w:pPr>
      <w:r>
        <w:rPr>
          <w:b/>
          <w:i w:val="0"/>
          <w:sz w:val="20"/>
        </w:rPr>
        <w:t>Standalone constraints (SSLC's own numbers):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position  </w:t>
      </w:r>
      <w:r>
        <w:t>$198K at October 2, 2026 — roughly one month of operating burn.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Prepaid-work gap  </w:t>
      </w:r>
      <w:r>
        <w:t>$300K–$700K needed just to finish $984K already billed or deposited — before SSLC can collect on any new work.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Operating history  </w:t>
      </w:r>
      <w:r>
        <w:t>FY26 operating loss: −$416K. No self-funding path to production scale.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He-tank rework  </w:t>
      </w:r>
      <w:r>
        <w:t>Rev3 GHe tank 4,400 psi proof issue unresolved (MC #3056). Remediation cost ~$175K to COPV ($300K gap). Resolves cleanly as intercompany under Exos.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capex capacity  </w:t>
      </w:r>
      <w:r>
        <w:t>Production-scale equipment and headcount additions are not fundable from SSLC's cash position. Growth is capped at current run-rate without outside capital.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The With-vs-Without comparison, year-by-year CAGR figures, and cumulative revenue gap are in the model spreadsheet: EXOS_SSLC_OptionB_Acquisition_Model_2026-10-07.xlsx, sheet 'With vs Without Exos Capital'.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3.  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Stacked chart below: funding delivered at close + earn-out forward potential. Base scenario shown; earn-out range (low/high) is in the model.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1"/>
        <w:gridCol w:w="2015"/>
        <w:gridCol w:w="2592"/>
      </w:tblGrid>
      <w:tr>
        <w:tc>
          <w:tcPr>
            <w:tcW w:type="dxa" w:w="331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Amount / Range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Cash at close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~Q1 FY27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SSLC closing costs (Seller)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Exos stake credit (non-cash)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 (credit)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$790,000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Debt relief (est., TBV)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Prepaid-work delivery funded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Post-close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$984K face / $500K Exos cost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Earn-out — IM tanks (3 yr)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FY27–FY29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Up to $900,000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Earn-out — Exos stock (RTO)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Post-RTO ~FY28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$600K–$2.1M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/>
                <w:sz w:val="18"/>
              </w:rPr>
              <w:t>TOTAL (low / mid / high)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FY27–FY31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$5.3M / $5.9M / $6.9M</w:t>
            </w:r>
          </w:p>
        </w:tc>
      </w:tr>
    </w:tbl>
    <w:p>
      <w:pPr>
        <w:spacing w:after="60" w:before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63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3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|  Full model: EXOS_SSLC_OptionB_Acquisition_Model_2026-10-07.xlsx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4.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 (non-exclusive → exclusive upon Exos financing agreement)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$3,360,000 ($2.51M cash + $60K costs + $790K Exos stake credit)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while financing works in good faith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Disinterested directors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Jon Quinn abstains from SSLC board vote; sends as Exos CEO (Cal. Corp. Code §310)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Fairness opinion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Eqvista 409A (03/31/2026, $8.66/sh, DLOM 36.51%) — engagement to be updated at signing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2026-10-07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