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color w:val="0A3D7C"/>
          <w:sz w:val="30"/>
        </w:rPr>
        <w:t>EXOS AEROSPACE — CONTRACTS &amp; SOLICITATIONS: APPLIED FOR / IN PURSUIT</w:t>
      </w:r>
    </w:p>
    <w:p>
      <w:pPr>
        <w:spacing w:after="160" w:before="0"/>
      </w:pPr>
      <w:r>
        <w:rPr>
          <w:b w:val="0"/>
          <w:color w:val="555555"/>
          <w:sz w:val="18"/>
        </w:rPr>
        <w:t>Business-development pipeline snapshot — federal and commercial solicitations Exos has submitted, is preparing, or is pursuing. RFI responses are market engagements, not awards; awarded contracts are marked. As of 2026-10-17.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0B8C4"/>
          <w:left w:val="single" w:sz="4" w:color="B0B8C4"/>
          <w:bottom w:val="single" w:sz="4" w:color="B0B8C4"/>
          <w:right w:val="single" w:sz="4" w:color="B0B8C4"/>
          <w:insideH w:val="single" w:sz="4" w:color="B0B8C4"/>
          <w:insideV w:val="single" w:sz="4" w:color="B0B8C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4176"/>
            <w:shd w:val="clear" w:fill="0A3D7C"/>
          </w:tcPr>
          <w:p>
            <w:r>
              <w:rPr>
                <w:b/>
                <w:color w:val="FFFFFF"/>
                <w:sz w:val="18"/>
              </w:rPr>
              <w:t>Program / Solicitation</w:t>
            </w:r>
          </w:p>
        </w:tc>
        <w:tc>
          <w:tcPr>
            <w:tcW w:type="dxa" w:w="2736"/>
            <w:shd w:val="clear" w:fill="0A3D7C"/>
          </w:tcPr>
          <w:p>
            <w:r>
              <w:rPr>
                <w:b/>
                <w:color w:val="FFFFFF"/>
                <w:sz w:val="18"/>
              </w:rPr>
              <w:t>Agency / Customer</w:t>
            </w:r>
          </w:p>
        </w:tc>
        <w:tc>
          <w:tcPr>
            <w:tcW w:type="dxa" w:w="2160"/>
            <w:shd w:val="clear" w:fill="0A3D7C"/>
          </w:tcPr>
          <w:p>
            <w:r>
              <w:rPr>
                <w:b/>
                <w:color w:val="FFFFFF"/>
                <w:sz w:val="18"/>
              </w:rPr>
              <w:t>Exos Role</w:t>
            </w:r>
          </w:p>
        </w:tc>
        <w:tc>
          <w:tcPr>
            <w:tcW w:type="dxa" w:w="3456"/>
            <w:shd w:val="clear" w:fill="0A3D7C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944"/>
            <w:shd w:val="clear" w:fill="0A3D7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12"/>
            <w:shd w:val="clear" w:fill="0A3D7C"/>
          </w:tcPr>
          <w:p>
            <w:r>
              <w:rPr>
                <w:b/>
                <w:color w:val="FFFFFF"/>
                <w:sz w:val="18"/>
              </w:rPr>
              <w:t>Date / Deadline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VuronyxTech DOE SBIR Phase II — MAX-Phase Ceramic Coatings (C58-11)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U.S. DOE (prime: VuronyxTech; univ: UND)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Flight-test partner (Phase III, contingent on prime award)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Recoverable BLK3 coupon flight-test &amp; metrology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Exos Letter of Support delivered to prime; award decision pending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Sep 2026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DARPA NGHCM RFI (DARPA-SN-26-93)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DARPA — Tactical Technology Office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T&amp;E test-bed (test-side)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Recoverable suborbital T&amp;E for hypersonic subsystems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sz w:val="17"/>
              </w:rPr>
              <w:t>RFI response drafted (rev 2); deadline extended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Due Nov 6, 2026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Golden Dome for America Hub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Dept. of War / Golden Dome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Test-side prime capability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Org registration + capability statement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Registration + capability statement in progress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Rolling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SpaceWERX TACFI PY26.2 — HVRR-RDRE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USAF / SpaceWERX (AFRL)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Prime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RDRE Phase II → Phase III bridge ($4M request; 11-doc package)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sz w:val="17"/>
              </w:rPr>
              <w:t>Package complete; award pending (not in base case)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Rolling NOO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AF SBIR Phase II — Suborbital Hover Vehicle–Reusable Rocket (FA9300-25-C-6022)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U.S. Air Force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HVRR flight-test vehicle; RDRE evaluation &amp; validation</w:t>
            </w:r>
          </w:p>
        </w:tc>
        <w:tc>
          <w:tcPr>
            <w:tcW w:type="dxa" w:w="1944"/>
          </w:tcPr>
          <w:p>
            <w:r>
              <w:rPr>
                <w:b/>
                <w:color w:val="1B7A3A"/>
                <w:sz w:val="17"/>
              </w:rPr>
              <w:t>AWARDED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Sep 2025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AFRL/RQ Project HERMES — HVRR RDRE Free Flight Test Program (FA9300-26-C-6011)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U.S. Air Force — AFRL/RQ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Prime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VTVL free-flight test campaign ($293K FFP)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color w:val="1B7A3A"/>
                <w:sz w:val="17"/>
              </w:rPr>
              <w:t>AWARDED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Sep 2026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Project KARMEN D2P2 (USSF SBIR SF254-D1002)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U.S. Space Force — Space Systems Command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Proposed 2-flight / 48-hr BLK3 rapid-turnaround demo (not yet demonstrated)</w:t>
            </w:r>
          </w:p>
        </w:tc>
        <w:tc>
          <w:tcPr>
            <w:tcW w:type="dxa" w:w="1944"/>
          </w:tcPr>
          <w:p>
            <w:r>
              <w:rPr>
                <w:b/>
                <w:color w:val="1B7A3A"/>
                <w:sz w:val="17"/>
              </w:rPr>
              <w:t>Proposal submitted; not awarded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2025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NASA SBIR AERO.4.S26B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NASA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Prime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FBG structural-health-monitoring for flight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color w:val="0A3D7C"/>
                <w:sz w:val="17"/>
              </w:rPr>
              <w:t>Submitted (ProSAMS); award decision pending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May 2026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NIH STTR (PA-27-102) — Microgravity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NIH (with Purdue + Univ. of Washington)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Suborbital flight platform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BLK3 microgravity de-risk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Submitted Sep 8, 2026 (ASSIST 2207197); in NIH review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Decision ~Nov–Dec 2026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DARPA Rapid Reconstitution RFI (DARPA-SN-26-42)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DARPA — Strategic Technology Office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Responder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Responsive suborbital reconstitution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color w:val="0A3D7C"/>
                <w:sz w:val="17"/>
              </w:rPr>
              <w:t>Submitted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Jul 2026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AFWERX EPIC RFI (RFI-RFZF-B001)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USAF / AFWERX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Responder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Capability response (10-pg package)</w:t>
            </w:r>
          </w:p>
        </w:tc>
        <w:tc>
          <w:tcPr>
            <w:tcW w:type="dxa" w:w="1944"/>
          </w:tcPr>
          <w:p>
            <w:r>
              <w:rPr>
                <w:b/>
                <w:color w:val="0A3D7C"/>
                <w:sz w:val="17"/>
              </w:rPr>
              <w:t>Submitted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May 2026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DIBC SRM Composite Scale-Up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Defense Industrial Base Consortium / ATI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Prime (Scorpius Type-5 scale-up)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Domestic composite SRM-case production (~$25M)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sz w:val="17"/>
              </w:rPr>
              <w:t>DIBC membership onboarding complete; screening member solicitations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2026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SPLASH (FA2521-26-Q-0010)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USAF — Foreign Military Sales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Advisory / A&amp;A services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Partner-nation spaceport &amp; launch-vehicle advisory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Not pursued (quote deadline passed)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Sep 18, 2026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TX Space Commission SEARF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State of Texas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Applicant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$2M state match for TACFI (SEARF direct award)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sz w:val="17"/>
              </w:rPr>
              <w:t>Direct-award request submitted; Commission decision pending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Jul 2026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NASA Flight Opportunities on-ramp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NASA STMD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Commercial flight provider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BLK3 suborbital provider listing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In pursuit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spacing w:after="60" w:before="160"/>
      </w:pPr>
      <w:r>
        <w:rPr>
          <w:b w:val="0"/>
          <w:color w:val="555555"/>
          <w:sz w:val="16"/>
        </w:rPr>
        <w:t>Exos Aerospace Systems &amp; Technologies, Inc. · CAGE 7EMY6 · UEI CK24BPZGF854 · One of only three FAA-licensed reusable rocket launch providers in the U.S. (Part 431, transitioning to Part 450).</w:t>
      </w:r>
    </w:p>
    <w:p>
      <w:pPr>
        <w:spacing w:after="0" w:before="0"/>
      </w:pPr>
      <w:r>
        <w:rPr>
          <w:b w:val="0"/>
          <w:color w:val="555555"/>
          <w:sz w:val="15"/>
        </w:rPr>
        <w:t>Note: This schedule reflects business-development pursuits and is separate from the Series A offering. Values shown are program/scope figures where noted, not commitments; RFI/RFQ responses do not constitute awards.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