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B2A4A"/>
          <w:sz w:val="30"/>
        </w:rPr>
        <w:t>5.2  COMPETITIVE ANALYSIS</w:t>
      </w:r>
    </w:p>
    <w:p>
      <w:pPr>
        <w:spacing w:after="180"/>
        <w:jc w:val="center"/>
      </w:pPr>
      <w:r>
        <w:rPr>
          <w:i/>
          <w:color w:val="007AA8"/>
          <w:sz w:val="20"/>
        </w:rPr>
        <w:t>Exos Aerospace Systems &amp; Technologies, Inc.  ·  Series A Data Room  ·  August 2026 (rev. 2026-10-10)</w:t>
      </w:r>
    </w:p>
    <w:p>
      <w:pPr>
        <w:spacing w:after="100"/>
      </w:pPr>
      <w:r>
        <w:rPr>
          <w:rFonts w:ascii="Calibri" w:hAnsi="Calibri"/>
          <w:b w:val="0"/>
          <w:i/>
          <w:color w:val="888888"/>
          <w:sz w:val="17"/>
        </w:rPr>
        <w:t>Confidential — for the intended investor only. Competitor references are drawn from public sources for positioning context.</w:t>
      </w:r>
    </w:p>
    <w:p>
      <w:pPr>
        <w:keepNext/>
        <w:spacing w:before="200" w:after="60"/>
      </w:pPr>
      <w:r>
        <w:rPr>
          <w:rFonts w:ascii="Calibri" w:hAnsi="Calibri"/>
          <w:b/>
          <w:color w:val="1B2A4A"/>
          <w:sz w:val="26"/>
        </w:rPr>
        <w:t>1.  Positioning — Exos is the enabling layer, not an orbital prime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Exos does not compete with orbital launch primes (SpaceX, Blue Origin, Rocket Lab, Firefly). It occupies the enabling layer beneath and beside them: reusable flight-test and qualification capacity, lunar-proven cryogenic IP, and domestic composite/propulsion supply. Exos is one of only three FAA-licensed reusable suborbital launch providers in the United States, and pairs that with irreplaceable Scorpius Type-5 cryogenic-tank IP and an AI-native operating platform.</w:t>
      </w:r>
    </w:p>
    <w:p>
      <w:pPr>
        <w:keepNext/>
        <w:spacing w:before="200" w:after="60"/>
      </w:pPr>
      <w:r>
        <w:rPr>
          <w:rFonts w:ascii="Calibri" w:hAnsi="Calibri"/>
          <w:b/>
          <w:color w:val="1B2A4A"/>
          <w:sz w:val="26"/>
        </w:rPr>
        <w:t>2.  Competitive landscape by segment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2.1  Reusable suborbital flight-test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Suborbital providers include Blue Origin (New Shepard, oriented to crewed/research flights) and expendable sounding-rocket operators (e.g., UP Aerospace). Exos's differentiation is a FAA-licensed, reusable, recoverable VTVL vehicle (BLK3, the enhanced successor to the flight-proven SARGE program) built for rapid, iterative reflight and intact hardware recovery — the low-cost, ground-then-flight cadence that subsystem qualification needs. Few, if any, offer a licensed reusable suborbital test bed for hire.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2.2  Cryogenic composite tankage (Scorpius Type-5)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Composite-tank and cryo-storage players include Infinite Composites, Composite Technology Development (CTD), Gloyer-Taylor Laboratories, Rock West, and CST; ZBO storage efforts include NASA's cryocooler work and Eta Space. None of these has demonstrated a TRL-9 linerless (Type-5) cryogenic tank flown on the Moon. Scorpius Type-5 tanks flew as the fuel and LOX tanks on Intuitive Machines' Odysseus and Athena landers and Scorpius's tank technology has made its first tank sale for an orbital transfer vehicle — a heritage no competitor matches. ZBO storage efforts are complementary (a storage technique), not a substitute for the tank itself.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2.3  Advanced propulsion (RDRE)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RDRE developers include Venus Aerospace (flight-tested RDRE, materially funded), RTX / Pratt &amp; Whitney (military effector RDE under AFRL), and NASA/DARPA/university programs. Exos is deliberately NOT an engine developer and therefore not a competitor to them; it is the complementary reusable flight-test platform that de-risks any RDRE through recoverable, altitude-swept flight data — a capability none of the engine developers possess in-house.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2.4  Composite defense industrial base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Recent MDA and OSC/DPA Title III awards to composite and solid-rocket-motor entrants (e.g., X-Bow, Ursa Major, PacSci EMC, Americarb) validate a large, capital-backed market. Exos's play is not to compete for prime weapon scope but to serve as a flight-test-side prime and composite integrator, with an acquisition path (CTD; Southwest Composite Works) to internalize domestic capacity.</w:t>
      </w:r>
    </w:p>
    <w:p>
      <w:pPr>
        <w:keepNext/>
        <w:spacing w:before="200" w:after="60"/>
      </w:pPr>
      <w:r>
        <w:rPr>
          <w:rFonts w:ascii="Calibri" w:hAnsi="Calibri"/>
          <w:b/>
          <w:color w:val="1B2A4A"/>
          <w:sz w:val="26"/>
        </w:rPr>
        <w:t>3.  Exos's competitive moats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b/>
          <w:sz w:val="20"/>
        </w:rPr>
        <w:t xml:space="preserve">Scarce license. </w:t>
      </w:r>
      <w:r>
        <w:rPr>
          <w:rFonts w:ascii="Calibri" w:hAnsi="Calibri"/>
          <w:sz w:val="20"/>
        </w:rPr>
        <w:t>One of only three FAA-licensed reusable suborbital launch providers in the U.S.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b/>
          <w:sz w:val="20"/>
        </w:rPr>
        <w:t>Irreplaceable IP. Exos owns 18% of Scorpius — the only TRL-9, lunar-flown Type-5 cryogenic tank technology — and the Series A completes the acquisition, bringing it fully in-house.</w:t>
      </w:r>
      <w:r>
        <w:rPr>
          <w:rFonts w:ascii="Calibri" w:hAnsi="Calibri"/>
          <w:sz w:val="20"/>
        </w:rPr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b/>
          <w:sz w:val="20"/>
        </w:rPr>
        <w:t xml:space="preserve">Enabling platform. </w:t>
      </w:r>
      <w:r>
        <w:rPr>
          <w:rFonts w:ascii="Calibri" w:hAnsi="Calibri"/>
          <w:sz w:val="20"/>
        </w:rPr>
        <w:t>A reusable, recoverable flight-test vehicle that de-risks others' propulsion, avionics, and defense subsystems — a service competitors cannot easily replicate.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b/>
          <w:sz w:val="20"/>
        </w:rPr>
        <w:t xml:space="preserve">Financial discipline. </w:t>
      </w:r>
      <w:r>
        <w:rPr>
          <w:rFonts w:ascii="Calibri" w:hAnsi="Calibri"/>
          <w:sz w:val="20"/>
        </w:rPr>
        <w:t>Closed FY2025 profitable (revenue $1.49M, operating income ~$254K, net income $191K per QuickBooks, ~$6.2M NOL) — rare at this stage and TRL.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b/>
          <w:sz w:val="20"/>
        </w:rPr>
        <w:t xml:space="preserve">AI-native operating platform. </w:t>
      </w:r>
      <w:r>
        <w:rPr>
          <w:rFonts w:ascii="Calibri" w:hAnsi="Calibri"/>
          <w:sz w:val="20"/>
        </w:rPr>
        <w:t>An AI-deployed operating layer (Mission Control + agent fleet) compounding execution speed across BD, capture, and operations.</w:t>
      </w:r>
    </w:p>
    <w:p>
      <w:pPr>
        <w:keepNext/>
        <w:spacing w:before="200" w:after="60"/>
      </w:pPr>
      <w:r>
        <w:rPr>
          <w:rFonts w:ascii="Calibri" w:hAnsi="Calibri"/>
          <w:b/>
          <w:color w:val="1B2A4A"/>
          <w:sz w:val="26"/>
        </w:rPr>
        <w:t>4.  SWOT (summary)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Strengths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sz w:val="20"/>
        </w:rPr>
        <w:t>FAA-licensed reusable platform; lunar-proven Type-5 IP (18% owned; acquisition being completed); profitable; non-dilutive federal capital pipeline; AI-native operations.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Weaknesses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sz w:val="20"/>
        </w:rPr>
        <w:t>Small scale relative to primes; BLK3 licensed but not yet flown commercially (early 2027); Scorpius operating entity is capital-constrained pending acquisition.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Opportunities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sz w:val="20"/>
        </w:rPr>
        <w:t>National policy cadence; DoW/MDA test-side-prime lanes; orbital-mobility / CFM demand; DPA Title III / OSC composite onshoring; RDRE flight-test window.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Threats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sz w:val="20"/>
        </w:rPr>
        <w:t>New composite/propulsion entrants; RDRE space consolidating; dependence on federal timelines and, for Scorpius, on customer concentration until diversified through Exos's pipeline.</w:t>
      </w:r>
    </w:p>
    <w:p>
      <w:pPr>
        <w:keepNext/>
        <w:spacing w:before="200" w:after="60"/>
      </w:pPr>
      <w:r>
        <w:rPr>
          <w:rFonts w:ascii="Calibri" w:hAnsi="Calibri"/>
          <w:b/>
          <w:color w:val="1B2A4A"/>
          <w:sz w:val="26"/>
        </w:rPr>
        <w:t>5.  Bottom line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Exos wins by being the layer everyone else needs — reusable flight-test capacity, lunar-proven cryogenic IP, and domestic composite/propulsion supply — rather than by competing for orbital-prime scope. The combination of a scarce license, irreplaceable IP at a frozen basis, a differentiated enabling platform, and profitability is not replicated by any single competitor in the landscape above.</w:t>
      </w:r>
    </w:p>
    <w:p>
      <w:pPr>
        <w:spacing w:after="0"/>
      </w:pPr>
      <w:r>
        <w:rPr>
          <w:rFonts w:ascii="Calibri" w:hAnsi="Calibri"/>
          <w:b w:val="0"/>
          <w:i w:val="0"/>
          <w:color w:val="888888"/>
          <w:sz w:val="16"/>
        </w:rPr>
        <w:t>Competitor references are public-source and illustrative of positioning, not exhaustive. BLK3 holds an FAA license (2026) and has not yet flown commercially. Exos flight-tests, and does not develop, RDRE hardware; the RDRE hardware path is a program trade-study down-select. Scorpius Type-5 flew as fuel and LOX tanks on IM Odysseus and Athena.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28" w:right="1440" w:bottom="1440" w:left="1440" w:header="576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3017520" cy="4954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17520" cy="495448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880360" cy="59472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80360" cy="59472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