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0"/>
      </w:pPr>
      <w:r>
        <w:rPr>
          <w:b/>
          <w:color w:val="0A3D7C"/>
          <w:sz w:val="30"/>
        </w:rPr>
        <w:t>EXOS AEROSPACE — CONTRACTS &amp; SOLICITATIONS: APPLIED FOR / IN PURSUIT</w:t>
      </w:r>
    </w:p>
    <w:p>
      <w:pPr>
        <w:spacing w:after="160" w:before="0"/>
      </w:pPr>
      <w:r>
        <w:rPr>
          <w:b w:val="0"/>
          <w:color w:val="555555"/>
          <w:sz w:val="18"/>
        </w:rPr>
        <w:t>Business-development pipeline snapshot — federal and commercial solicitations Exos has submitted, is preparing, or is pursuing. RFI responses are market engagements, not awards; awarded contracts are marked. As of 2026-09-07.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0B8C4"/>
          <w:left w:val="single" w:sz="4" w:color="B0B8C4"/>
          <w:bottom w:val="single" w:sz="4" w:color="B0B8C4"/>
          <w:right w:val="single" w:sz="4" w:color="B0B8C4"/>
          <w:insideH w:val="single" w:sz="4" w:color="B0B8C4"/>
          <w:insideV w:val="single" w:sz="4" w:color="B0B8C4"/>
        </w:tblBorders>
      </w:tblPr>
      <w:tblGrid>
        <w:gridCol w:w="2400"/>
        <w:gridCol w:w="2400"/>
        <w:gridCol w:w="2400"/>
        <w:gridCol w:w="2400"/>
        <w:gridCol w:w="2400"/>
        <w:gridCol w:w="2400"/>
      </w:tblGrid>
      <w:tr>
        <w:tc>
          <w:tcPr>
            <w:tcW w:type="dxa" w:w="4176"/>
            <w:shd w:val="clear" w:fill="0A3D7C"/>
          </w:tcPr>
          <w:p>
            <w:r>
              <w:rPr>
                <w:b/>
                <w:color w:val="FFFFFF"/>
                <w:sz w:val="18"/>
              </w:rPr>
              <w:t>Program / Solicitation</w:t>
            </w:r>
          </w:p>
        </w:tc>
        <w:tc>
          <w:tcPr>
            <w:tcW w:type="dxa" w:w="2736"/>
            <w:shd w:val="clear" w:fill="0A3D7C"/>
          </w:tcPr>
          <w:p>
            <w:r>
              <w:rPr>
                <w:b/>
                <w:color w:val="FFFFFF"/>
                <w:sz w:val="18"/>
              </w:rPr>
              <w:t>Agency / Customer</w:t>
            </w:r>
          </w:p>
        </w:tc>
        <w:tc>
          <w:tcPr>
            <w:tcW w:type="dxa" w:w="2160"/>
            <w:shd w:val="clear" w:fill="0A3D7C"/>
          </w:tcPr>
          <w:p>
            <w:r>
              <w:rPr>
                <w:b/>
                <w:color w:val="FFFFFF"/>
                <w:sz w:val="18"/>
              </w:rPr>
              <w:t>Exos Role</w:t>
            </w:r>
          </w:p>
        </w:tc>
        <w:tc>
          <w:tcPr>
            <w:tcW w:type="dxa" w:w="3456"/>
            <w:shd w:val="clear" w:fill="0A3D7C"/>
          </w:tcPr>
          <w:p>
            <w:r>
              <w:rPr>
                <w:b/>
                <w:color w:val="FFFFFF"/>
                <w:sz w:val="18"/>
              </w:rPr>
              <w:t>Scope</w:t>
            </w:r>
          </w:p>
        </w:tc>
        <w:tc>
          <w:tcPr>
            <w:tcW w:type="dxa" w:w="1944"/>
            <w:shd w:val="clear" w:fill="0A3D7C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512"/>
            <w:shd w:val="clear" w:fill="0A3D7C"/>
          </w:tcPr>
          <w:p>
            <w:r>
              <w:rPr>
                <w:b/>
                <w:color w:val="FFFFFF"/>
                <w:sz w:val="18"/>
              </w:rPr>
              <w:t>Date / Deadline</w:t>
            </w:r>
          </w:p>
        </w:tc>
      </w:tr>
      <w:tr>
        <w:tc>
          <w:tcPr>
            <w:tcW w:type="dxa" w:w="4176"/>
          </w:tcPr>
          <w:p>
            <w:r>
              <w:rPr>
                <w:sz w:val="17"/>
              </w:rPr>
              <w:t>VuronyxTech DOE SBIR Phase II — MAX-Phase Ceramic Coatings (C58-11)</w:t>
            </w:r>
          </w:p>
        </w:tc>
        <w:tc>
          <w:tcPr>
            <w:tcW w:type="dxa" w:w="2736"/>
          </w:tcPr>
          <w:p>
            <w:r>
              <w:rPr>
                <w:sz w:val="17"/>
              </w:rPr>
              <w:t>U.S. DOE (prime: VuronyxTech; univ: UND)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Flight-test subcontractor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Recoverable BLK3 coupon flight-test &amp; metrology (~$525K/2yr)</w:t>
            </w:r>
          </w:p>
        </w:tc>
        <w:tc>
          <w:tcPr>
            <w:tcW w:type="dxa" w:w="1944"/>
          </w:tcPr>
          <w:p>
            <w:r>
              <w:rPr>
                <w:b/>
                <w:sz w:val="17"/>
              </w:rPr>
              <w:t>Inputs submitted; proposal in prep</w:t>
            </w:r>
          </w:p>
        </w:tc>
        <w:tc>
          <w:tcPr>
            <w:tcW w:type="dxa" w:w="1512"/>
          </w:tcPr>
          <w:p>
            <w:r>
              <w:rPr>
                <w:sz w:val="17"/>
              </w:rPr>
              <w:t>Due Sep 20, 2026</w:t>
            </w:r>
          </w:p>
        </w:tc>
      </w:tr>
      <w:tr>
        <w:tc>
          <w:tcPr>
            <w:tcW w:type="dxa" w:w="4176"/>
            <w:shd w:val="clear" w:fill="EEF2F7"/>
          </w:tcPr>
          <w:p>
            <w:r>
              <w:rPr>
                <w:sz w:val="17"/>
              </w:rPr>
              <w:t>MDA Low-Cost Kill Vehicles (HQ0860-26-S-C009)</w:t>
            </w:r>
          </w:p>
        </w:tc>
        <w:tc>
          <w:tcPr>
            <w:tcW w:type="dxa" w:w="2736"/>
            <w:shd w:val="clear" w:fill="EEF2F7"/>
          </w:tcPr>
          <w:p>
            <w:r>
              <w:rPr>
                <w:sz w:val="17"/>
              </w:rPr>
              <w:t>Missile Defense Agency</w:t>
            </w:r>
          </w:p>
        </w:tc>
        <w:tc>
          <w:tcPr>
            <w:tcW w:type="dxa" w:w="2160"/>
            <w:shd w:val="clear" w:fill="EEF2F7"/>
          </w:tcPr>
          <w:p>
            <w:r>
              <w:rPr>
                <w:sz w:val="17"/>
              </w:rPr>
              <w:t>Test-side prime (never the interceptor)</w:t>
            </w:r>
          </w:p>
        </w:tc>
        <w:tc>
          <w:tcPr>
            <w:tcW w:type="dxa" w:w="3456"/>
            <w:shd w:val="clear" w:fill="EEF2F7"/>
          </w:tcPr>
          <w:p>
            <w:r>
              <w:rPr>
                <w:sz w:val="17"/>
              </w:rPr>
              <w:t>BLK3 recoverable qual of DACS/seeker/GNC subsystems</w:t>
            </w:r>
          </w:p>
        </w:tc>
        <w:tc>
          <w:tcPr>
            <w:tcW w:type="dxa" w:w="1944"/>
            <w:shd w:val="clear" w:fill="EEF2F7"/>
          </w:tcPr>
          <w:p>
            <w:r>
              <w:rPr>
                <w:b/>
                <w:sz w:val="17"/>
              </w:rPr>
              <w:t>Capability response in prep</w:t>
            </w:r>
          </w:p>
        </w:tc>
        <w:tc>
          <w:tcPr>
            <w:tcW w:type="dxa" w:w="1512"/>
            <w:shd w:val="clear" w:fill="EEF2F7"/>
          </w:tcPr>
          <w:p>
            <w:r>
              <w:rPr>
                <w:sz w:val="17"/>
              </w:rPr>
              <w:t>Due Oct 2, 2026</w:t>
            </w:r>
          </w:p>
        </w:tc>
      </w:tr>
      <w:tr>
        <w:tc>
          <w:tcPr>
            <w:tcW w:type="dxa" w:w="4176"/>
          </w:tcPr>
          <w:p>
            <w:r>
              <w:rPr>
                <w:sz w:val="17"/>
              </w:rPr>
              <w:t>DARPA NGHCM RFI (DARPA-SN-26-93)</w:t>
            </w:r>
          </w:p>
        </w:tc>
        <w:tc>
          <w:tcPr>
            <w:tcW w:type="dxa" w:w="2736"/>
          </w:tcPr>
          <w:p>
            <w:r>
              <w:rPr>
                <w:sz w:val="17"/>
              </w:rPr>
              <w:t>DARPA — Tactical Technology Office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T&amp;E test-bed (test-side)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Recoverable suborbital T&amp;E for hypersonic subsystems</w:t>
            </w:r>
          </w:p>
        </w:tc>
        <w:tc>
          <w:tcPr>
            <w:tcW w:type="dxa" w:w="1944"/>
          </w:tcPr>
          <w:p>
            <w:r>
              <w:rPr>
                <w:b/>
                <w:sz w:val="17"/>
              </w:rPr>
              <w:t>RFI response drafted</w:t>
            </w:r>
          </w:p>
        </w:tc>
        <w:tc>
          <w:tcPr>
            <w:tcW w:type="dxa" w:w="1512"/>
          </w:tcPr>
          <w:p>
            <w:r>
              <w:rPr>
                <w:sz w:val="17"/>
              </w:rPr>
              <w:t>Due Oct 6, 2026</w:t>
            </w:r>
          </w:p>
        </w:tc>
      </w:tr>
      <w:tr>
        <w:tc>
          <w:tcPr>
            <w:tcW w:type="dxa" w:w="4176"/>
            <w:shd w:val="clear" w:fill="EEF2F7"/>
          </w:tcPr>
          <w:p>
            <w:r>
              <w:rPr>
                <w:sz w:val="17"/>
              </w:rPr>
              <w:t>Golden Dome for America Hub</w:t>
            </w:r>
          </w:p>
        </w:tc>
        <w:tc>
          <w:tcPr>
            <w:tcW w:type="dxa" w:w="2736"/>
            <w:shd w:val="clear" w:fill="EEF2F7"/>
          </w:tcPr>
          <w:p>
            <w:r>
              <w:rPr>
                <w:sz w:val="17"/>
              </w:rPr>
              <w:t>Dept. of War / Golden Dome</w:t>
            </w:r>
          </w:p>
        </w:tc>
        <w:tc>
          <w:tcPr>
            <w:tcW w:type="dxa" w:w="2160"/>
            <w:shd w:val="clear" w:fill="EEF2F7"/>
          </w:tcPr>
          <w:p>
            <w:r>
              <w:rPr>
                <w:sz w:val="17"/>
              </w:rPr>
              <w:t>Test-side prime capability</w:t>
            </w:r>
          </w:p>
        </w:tc>
        <w:tc>
          <w:tcPr>
            <w:tcW w:type="dxa" w:w="3456"/>
            <w:shd w:val="clear" w:fill="EEF2F7"/>
          </w:tcPr>
          <w:p>
            <w:r>
              <w:rPr>
                <w:sz w:val="17"/>
              </w:rPr>
              <w:t>Org registration + capability statement</w:t>
            </w:r>
          </w:p>
        </w:tc>
        <w:tc>
          <w:tcPr>
            <w:tcW w:type="dxa" w:w="1944"/>
            <w:shd w:val="clear" w:fill="EEF2F7"/>
          </w:tcPr>
          <w:p>
            <w:r>
              <w:rPr>
                <w:b/>
                <w:sz w:val="17"/>
              </w:rPr>
              <w:t>In progress (rolling)</w:t>
            </w:r>
          </w:p>
        </w:tc>
        <w:tc>
          <w:tcPr>
            <w:tcW w:type="dxa" w:w="1512"/>
            <w:shd w:val="clear" w:fill="EEF2F7"/>
          </w:tcPr>
          <w:p>
            <w:r>
              <w:rPr>
                <w:sz w:val="17"/>
              </w:rPr>
              <w:t>Rolling</w:t>
            </w:r>
          </w:p>
        </w:tc>
      </w:tr>
      <w:tr>
        <w:tc>
          <w:tcPr>
            <w:tcW w:type="dxa" w:w="4176"/>
          </w:tcPr>
          <w:p>
            <w:r>
              <w:rPr>
                <w:sz w:val="17"/>
              </w:rPr>
              <w:t>SpaceWERX TACFI PY26.2 — HVRR-RDRE</w:t>
            </w:r>
          </w:p>
        </w:tc>
        <w:tc>
          <w:tcPr>
            <w:tcW w:type="dxa" w:w="2736"/>
          </w:tcPr>
          <w:p>
            <w:r>
              <w:rPr>
                <w:sz w:val="17"/>
              </w:rPr>
              <w:t>USAF / SpaceWERX (AFRL)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Prime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RDRE Phase II → Phase III bridge (11-doc package)</w:t>
            </w:r>
          </w:p>
        </w:tc>
        <w:tc>
          <w:tcPr>
            <w:tcW w:type="dxa" w:w="1944"/>
          </w:tcPr>
          <w:p>
            <w:r>
              <w:rPr>
                <w:b/>
                <w:sz w:val="17"/>
              </w:rPr>
              <w:t>Package ready; submission in progress</w:t>
            </w:r>
          </w:p>
        </w:tc>
        <w:tc>
          <w:tcPr>
            <w:tcW w:type="dxa" w:w="1512"/>
          </w:tcPr>
          <w:p>
            <w:r>
              <w:rPr>
                <w:sz w:val="17"/>
              </w:rPr>
              <w:t>Rolling NOO</w:t>
            </w:r>
          </w:p>
        </w:tc>
      </w:tr>
      <w:tr>
        <w:tc>
          <w:tcPr>
            <w:tcW w:type="dxa" w:w="4176"/>
            <w:shd w:val="clear" w:fill="EEF2F7"/>
          </w:tcPr>
          <w:p>
            <w:r>
              <w:rPr>
                <w:sz w:val="17"/>
              </w:rPr>
              <w:t>AF SBIR Phase II — HVRR-RDRE (FA9300-25-C-6022)</w:t>
            </w:r>
          </w:p>
        </w:tc>
        <w:tc>
          <w:tcPr>
            <w:tcW w:type="dxa" w:w="2736"/>
            <w:shd w:val="clear" w:fill="EEF2F7"/>
          </w:tcPr>
          <w:p>
            <w:r>
              <w:rPr>
                <w:sz w:val="17"/>
              </w:rPr>
              <w:t>U.S. Air Force</w:t>
            </w:r>
          </w:p>
        </w:tc>
        <w:tc>
          <w:tcPr>
            <w:tcW w:type="dxa" w:w="2160"/>
            <w:shd w:val="clear" w:fill="EEF2F7"/>
          </w:tcPr>
          <w:p>
            <w:r>
              <w:rPr>
                <w:sz w:val="17"/>
              </w:rPr>
              <w:t>Prime</w:t>
            </w:r>
          </w:p>
        </w:tc>
        <w:tc>
          <w:tcPr>
            <w:tcW w:type="dxa" w:w="3456"/>
            <w:shd w:val="clear" w:fill="EEF2F7"/>
          </w:tcPr>
          <w:p>
            <w:r>
              <w:rPr>
                <w:sz w:val="17"/>
              </w:rPr>
              <w:t>Rotating Detonation Rocket Engine development</w:t>
            </w:r>
          </w:p>
        </w:tc>
        <w:tc>
          <w:tcPr>
            <w:tcW w:type="dxa" w:w="1944"/>
            <w:shd w:val="clear" w:fill="EEF2F7"/>
          </w:tcPr>
          <w:p>
            <w:r>
              <w:rPr>
                <w:b/>
                <w:color w:val="1B7A3A"/>
                <w:sz w:val="17"/>
              </w:rPr>
              <w:t>AWARDED</w:t>
            </w:r>
          </w:p>
        </w:tc>
        <w:tc>
          <w:tcPr>
            <w:tcW w:type="dxa" w:w="1512"/>
            <w:shd w:val="clear" w:fill="EEF2F7"/>
          </w:tcPr>
          <w:p>
            <w:r>
              <w:rPr>
                <w:sz w:val="17"/>
              </w:rPr>
              <w:t>2025</w:t>
            </w:r>
          </w:p>
        </w:tc>
      </w:tr>
      <w:tr>
        <w:tc>
          <w:tcPr>
            <w:tcW w:type="dxa" w:w="4176"/>
          </w:tcPr>
          <w:p>
            <w:r>
              <w:rPr>
                <w:sz w:val="17"/>
              </w:rPr>
              <w:t>Karmen D2P2</w:t>
            </w:r>
          </w:p>
        </w:tc>
        <w:tc>
          <w:tcPr>
            <w:tcW w:type="dxa" w:w="2736"/>
          </w:tcPr>
          <w:p>
            <w:r>
              <w:rPr>
                <w:sz w:val="17"/>
              </w:rPr>
              <w:t>U.S. Air Force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Prime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2-flight / 48-hr BLK3 rapid-turnaround demo ($300K)</w:t>
            </w:r>
          </w:p>
        </w:tc>
        <w:tc>
          <w:tcPr>
            <w:tcW w:type="dxa" w:w="1944"/>
          </w:tcPr>
          <w:p>
            <w:r>
              <w:rPr>
                <w:b/>
                <w:color w:val="1B7A3A"/>
                <w:sz w:val="17"/>
              </w:rPr>
              <w:t>AWARDED</w:t>
            </w:r>
          </w:p>
        </w:tc>
        <w:tc>
          <w:tcPr>
            <w:tcW w:type="dxa" w:w="1512"/>
          </w:tcPr>
          <w:p>
            <w:r>
              <w:rPr>
                <w:sz w:val="17"/>
              </w:rPr>
              <w:t>2026</w:t>
            </w:r>
          </w:p>
        </w:tc>
      </w:tr>
      <w:tr>
        <w:tc>
          <w:tcPr>
            <w:tcW w:type="dxa" w:w="4176"/>
            <w:shd w:val="clear" w:fill="EEF2F7"/>
          </w:tcPr>
          <w:p>
            <w:r>
              <w:rPr>
                <w:sz w:val="17"/>
              </w:rPr>
              <w:t>NASA sole-source Phase III — RDRE</w:t>
            </w:r>
          </w:p>
        </w:tc>
        <w:tc>
          <w:tcPr>
            <w:tcW w:type="dxa" w:w="2736"/>
            <w:shd w:val="clear" w:fill="EEF2F7"/>
          </w:tcPr>
          <w:p>
            <w:r>
              <w:rPr>
                <w:sz w:val="17"/>
              </w:rPr>
              <w:t>NASA MSFC</w:t>
            </w:r>
          </w:p>
        </w:tc>
        <w:tc>
          <w:tcPr>
            <w:tcW w:type="dxa" w:w="2160"/>
            <w:shd w:val="clear" w:fill="EEF2F7"/>
          </w:tcPr>
          <w:p>
            <w:r>
              <w:rPr>
                <w:sz w:val="17"/>
              </w:rPr>
              <w:t>Prime</w:t>
            </w:r>
          </w:p>
        </w:tc>
        <w:tc>
          <w:tcPr>
            <w:tcW w:type="dxa" w:w="3456"/>
            <w:shd w:val="clear" w:fill="EEF2F7"/>
          </w:tcPr>
          <w:p>
            <w:r>
              <w:rPr>
                <w:sz w:val="17"/>
              </w:rPr>
              <w:t>RDRE flight-test maturation</w:t>
            </w:r>
          </w:p>
        </w:tc>
        <w:tc>
          <w:tcPr>
            <w:tcW w:type="dxa" w:w="1944"/>
            <w:shd w:val="clear" w:fill="EEF2F7"/>
          </w:tcPr>
          <w:p>
            <w:r>
              <w:rPr>
                <w:b/>
                <w:sz w:val="17"/>
              </w:rPr>
              <w:t>In pursuit</w:t>
            </w:r>
          </w:p>
        </w:tc>
        <w:tc>
          <w:tcPr>
            <w:tcW w:type="dxa" w:w="1512"/>
            <w:shd w:val="clear" w:fill="EEF2F7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4176"/>
          </w:tcPr>
          <w:p>
            <w:r>
              <w:rPr>
                <w:sz w:val="17"/>
              </w:rPr>
              <w:t>NASA SBIR AERO.4.S26B</w:t>
            </w:r>
          </w:p>
        </w:tc>
        <w:tc>
          <w:tcPr>
            <w:tcW w:type="dxa" w:w="2736"/>
          </w:tcPr>
          <w:p>
            <w:r>
              <w:rPr>
                <w:sz w:val="17"/>
              </w:rPr>
              <w:t>NASA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Prime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FBG structural-health-monitoring for flight</w:t>
            </w:r>
          </w:p>
        </w:tc>
        <w:tc>
          <w:tcPr>
            <w:tcW w:type="dxa" w:w="1944"/>
          </w:tcPr>
          <w:p>
            <w:r>
              <w:rPr>
                <w:b/>
                <w:color w:val="0A3D7C"/>
                <w:sz w:val="17"/>
              </w:rPr>
              <w:t>Submitted (ProSAMS)</w:t>
            </w:r>
          </w:p>
        </w:tc>
        <w:tc>
          <w:tcPr>
            <w:tcW w:type="dxa" w:w="1512"/>
          </w:tcPr>
          <w:p>
            <w:r>
              <w:rPr>
                <w:sz w:val="17"/>
              </w:rPr>
              <w:t>May 2026</w:t>
            </w:r>
          </w:p>
        </w:tc>
      </w:tr>
      <w:tr>
        <w:tc>
          <w:tcPr>
            <w:tcW w:type="dxa" w:w="4176"/>
            <w:shd w:val="clear" w:fill="EEF2F7"/>
          </w:tcPr>
          <w:p>
            <w:r>
              <w:rPr>
                <w:sz w:val="17"/>
              </w:rPr>
              <w:t>NIH STTR (PA-27-102) — Microgravity</w:t>
            </w:r>
          </w:p>
        </w:tc>
        <w:tc>
          <w:tcPr>
            <w:tcW w:type="dxa" w:w="2736"/>
            <w:shd w:val="clear" w:fill="EEF2F7"/>
          </w:tcPr>
          <w:p>
            <w:r>
              <w:rPr>
                <w:sz w:val="17"/>
              </w:rPr>
              <w:t>NIH (with Purdue + Univ. of Washington)</w:t>
            </w:r>
          </w:p>
        </w:tc>
        <w:tc>
          <w:tcPr>
            <w:tcW w:type="dxa" w:w="2160"/>
            <w:shd w:val="clear" w:fill="EEF2F7"/>
          </w:tcPr>
          <w:p>
            <w:r>
              <w:rPr>
                <w:sz w:val="17"/>
              </w:rPr>
              <w:t>Suborbital flight platform</w:t>
            </w:r>
          </w:p>
        </w:tc>
        <w:tc>
          <w:tcPr>
            <w:tcW w:type="dxa" w:w="3456"/>
            <w:shd w:val="clear" w:fill="EEF2F7"/>
          </w:tcPr>
          <w:p>
            <w:r>
              <w:rPr>
                <w:sz w:val="17"/>
              </w:rPr>
              <w:t>BLK3 microgravity de-risk</w:t>
            </w:r>
          </w:p>
        </w:tc>
        <w:tc>
          <w:tcPr>
            <w:tcW w:type="dxa" w:w="1944"/>
            <w:shd w:val="clear" w:fill="EEF2F7"/>
          </w:tcPr>
          <w:p>
            <w:r>
              <w:rPr>
                <w:b/>
                <w:sz w:val="17"/>
              </w:rPr>
              <w:t>In pursuit</w:t>
            </w:r>
          </w:p>
        </w:tc>
        <w:tc>
          <w:tcPr>
            <w:tcW w:type="dxa" w:w="1512"/>
            <w:shd w:val="clear" w:fill="EEF2F7"/>
          </w:tcPr>
          <w:p>
            <w:r>
              <w:rPr>
                <w:sz w:val="17"/>
              </w:rPr>
              <w:t>2026 cycle</w:t>
            </w:r>
          </w:p>
        </w:tc>
      </w:tr>
      <w:tr>
        <w:tc>
          <w:tcPr>
            <w:tcW w:type="dxa" w:w="4176"/>
          </w:tcPr>
          <w:p>
            <w:r>
              <w:rPr>
                <w:sz w:val="17"/>
              </w:rPr>
              <w:t>DARPA Rapid Reconstitution RFI (DARPA-SN-26-42)</w:t>
            </w:r>
          </w:p>
        </w:tc>
        <w:tc>
          <w:tcPr>
            <w:tcW w:type="dxa" w:w="2736"/>
          </w:tcPr>
          <w:p>
            <w:r>
              <w:rPr>
                <w:sz w:val="17"/>
              </w:rPr>
              <w:t>DARPA — Strategic Technology Office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Responder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Responsive suborbital reconstitution</w:t>
            </w:r>
          </w:p>
        </w:tc>
        <w:tc>
          <w:tcPr>
            <w:tcW w:type="dxa" w:w="1944"/>
          </w:tcPr>
          <w:p>
            <w:r>
              <w:rPr>
                <w:b/>
                <w:color w:val="0A3D7C"/>
                <w:sz w:val="17"/>
              </w:rPr>
              <w:t>Submitted</w:t>
            </w:r>
          </w:p>
        </w:tc>
        <w:tc>
          <w:tcPr>
            <w:tcW w:type="dxa" w:w="1512"/>
          </w:tcPr>
          <w:p>
            <w:r>
              <w:rPr>
                <w:sz w:val="17"/>
              </w:rPr>
              <w:t>Jul 2026</w:t>
            </w:r>
          </w:p>
        </w:tc>
      </w:tr>
      <w:tr>
        <w:tc>
          <w:tcPr>
            <w:tcW w:type="dxa" w:w="4176"/>
            <w:shd w:val="clear" w:fill="EEF2F7"/>
          </w:tcPr>
          <w:p>
            <w:r>
              <w:rPr>
                <w:sz w:val="17"/>
              </w:rPr>
              <w:t>AFWERX EPIC RFI (RFI-RFZF-B001)</w:t>
            </w:r>
          </w:p>
        </w:tc>
        <w:tc>
          <w:tcPr>
            <w:tcW w:type="dxa" w:w="2736"/>
            <w:shd w:val="clear" w:fill="EEF2F7"/>
          </w:tcPr>
          <w:p>
            <w:r>
              <w:rPr>
                <w:sz w:val="17"/>
              </w:rPr>
              <w:t>USAF / AFWERX</w:t>
            </w:r>
          </w:p>
        </w:tc>
        <w:tc>
          <w:tcPr>
            <w:tcW w:type="dxa" w:w="2160"/>
            <w:shd w:val="clear" w:fill="EEF2F7"/>
          </w:tcPr>
          <w:p>
            <w:r>
              <w:rPr>
                <w:sz w:val="17"/>
              </w:rPr>
              <w:t>Responder</w:t>
            </w:r>
          </w:p>
        </w:tc>
        <w:tc>
          <w:tcPr>
            <w:tcW w:type="dxa" w:w="3456"/>
            <w:shd w:val="clear" w:fill="EEF2F7"/>
          </w:tcPr>
          <w:p>
            <w:r>
              <w:rPr>
                <w:sz w:val="17"/>
              </w:rPr>
              <w:t>Capability response (10-pg package)</w:t>
            </w:r>
          </w:p>
        </w:tc>
        <w:tc>
          <w:tcPr>
            <w:tcW w:type="dxa" w:w="1944"/>
            <w:shd w:val="clear" w:fill="EEF2F7"/>
          </w:tcPr>
          <w:p>
            <w:r>
              <w:rPr>
                <w:b/>
                <w:color w:val="0A3D7C"/>
                <w:sz w:val="17"/>
              </w:rPr>
              <w:t>Submitted</w:t>
            </w:r>
          </w:p>
        </w:tc>
        <w:tc>
          <w:tcPr>
            <w:tcW w:type="dxa" w:w="1512"/>
            <w:shd w:val="clear" w:fill="EEF2F7"/>
          </w:tcPr>
          <w:p>
            <w:r>
              <w:rPr>
                <w:sz w:val="17"/>
              </w:rPr>
              <w:t>May 2026</w:t>
            </w:r>
          </w:p>
        </w:tc>
      </w:tr>
      <w:tr>
        <w:tc>
          <w:tcPr>
            <w:tcW w:type="dxa" w:w="4176"/>
          </w:tcPr>
          <w:p>
            <w:r>
              <w:rPr>
                <w:sz w:val="17"/>
              </w:rPr>
              <w:t>DIBC SRM Composite Scale-Up (DPA Title III)</w:t>
            </w:r>
          </w:p>
        </w:tc>
        <w:tc>
          <w:tcPr>
            <w:tcW w:type="dxa" w:w="2736"/>
          </w:tcPr>
          <w:p>
            <w:r>
              <w:rPr>
                <w:sz w:val="17"/>
              </w:rPr>
              <w:t>Defense Industrial Base Consortium / ATI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Prime (Scorpius Type-5 scale-up)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Domestic composite SRM-case production (~$25M)</w:t>
            </w:r>
          </w:p>
        </w:tc>
        <w:tc>
          <w:tcPr>
            <w:tcW w:type="dxa" w:w="1944"/>
          </w:tcPr>
          <w:p>
            <w:r>
              <w:rPr>
                <w:b/>
                <w:sz w:val="17"/>
              </w:rPr>
              <w:t>Membership + RPP pursuit</w:t>
            </w:r>
          </w:p>
        </w:tc>
        <w:tc>
          <w:tcPr>
            <w:tcW w:type="dxa" w:w="1512"/>
          </w:tcPr>
          <w:p>
            <w:r>
              <w:rPr>
                <w:sz w:val="17"/>
              </w:rPr>
              <w:t>2026</w:t>
            </w:r>
          </w:p>
        </w:tc>
      </w:tr>
      <w:tr>
        <w:tc>
          <w:tcPr>
            <w:tcW w:type="dxa" w:w="4176"/>
            <w:shd w:val="clear" w:fill="EEF2F7"/>
          </w:tcPr>
          <w:p>
            <w:r>
              <w:rPr>
                <w:sz w:val="17"/>
              </w:rPr>
              <w:t>SPLASH (FA2521-26-Q-0010)</w:t>
            </w:r>
          </w:p>
        </w:tc>
        <w:tc>
          <w:tcPr>
            <w:tcW w:type="dxa" w:w="2736"/>
            <w:shd w:val="clear" w:fill="EEF2F7"/>
          </w:tcPr>
          <w:p>
            <w:r>
              <w:rPr>
                <w:sz w:val="17"/>
              </w:rPr>
              <w:t>USAF — Foreign Military Sales</w:t>
            </w:r>
          </w:p>
        </w:tc>
        <w:tc>
          <w:tcPr>
            <w:tcW w:type="dxa" w:w="2160"/>
            <w:shd w:val="clear" w:fill="EEF2F7"/>
          </w:tcPr>
          <w:p>
            <w:r>
              <w:rPr>
                <w:sz w:val="17"/>
              </w:rPr>
              <w:t>Advisory / A&amp;A services</w:t>
            </w:r>
          </w:p>
        </w:tc>
        <w:tc>
          <w:tcPr>
            <w:tcW w:type="dxa" w:w="3456"/>
            <w:shd w:val="clear" w:fill="EEF2F7"/>
          </w:tcPr>
          <w:p>
            <w:r>
              <w:rPr>
                <w:sz w:val="17"/>
              </w:rPr>
              <w:t>Partner-nation spaceport &amp; launch-vehicle advisory</w:t>
            </w:r>
          </w:p>
        </w:tc>
        <w:tc>
          <w:tcPr>
            <w:tcW w:type="dxa" w:w="1944"/>
            <w:shd w:val="clear" w:fill="EEF2F7"/>
          </w:tcPr>
          <w:p>
            <w:r>
              <w:rPr>
                <w:b/>
                <w:sz w:val="17"/>
              </w:rPr>
              <w:t>Assessing (CUI NDA to scope)</w:t>
            </w:r>
          </w:p>
        </w:tc>
        <w:tc>
          <w:tcPr>
            <w:tcW w:type="dxa" w:w="1512"/>
            <w:shd w:val="clear" w:fill="EEF2F7"/>
          </w:tcPr>
          <w:p>
            <w:r>
              <w:rPr>
                <w:sz w:val="17"/>
              </w:rPr>
              <w:t>Due Sep 18, 2026</w:t>
            </w:r>
          </w:p>
        </w:tc>
      </w:tr>
      <w:tr>
        <w:tc>
          <w:tcPr>
            <w:tcW w:type="dxa" w:w="4176"/>
          </w:tcPr>
          <w:p>
            <w:r>
              <w:rPr>
                <w:sz w:val="17"/>
              </w:rPr>
              <w:t>TX Space Commission SEARF</w:t>
            </w:r>
          </w:p>
        </w:tc>
        <w:tc>
          <w:tcPr>
            <w:tcW w:type="dxa" w:w="2736"/>
          </w:tcPr>
          <w:p>
            <w:r>
              <w:rPr>
                <w:sz w:val="17"/>
              </w:rPr>
              <w:t>State of Texas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Applicant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Grant match (SEARF)</w:t>
            </w:r>
          </w:p>
        </w:tc>
        <w:tc>
          <w:tcPr>
            <w:tcW w:type="dxa" w:w="1944"/>
          </w:tcPr>
          <w:p>
            <w:r>
              <w:rPr>
                <w:b/>
                <w:sz w:val="17"/>
              </w:rPr>
              <w:t>Pending portal reopening</w:t>
            </w:r>
          </w:p>
        </w:tc>
        <w:tc>
          <w:tcPr>
            <w:tcW w:type="dxa" w:w="1512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4176"/>
            <w:shd w:val="clear" w:fill="EEF2F7"/>
          </w:tcPr>
          <w:p>
            <w:r>
              <w:rPr>
                <w:sz w:val="17"/>
              </w:rPr>
              <w:t>NASA Flight Opportunities on-ramp</w:t>
            </w:r>
          </w:p>
        </w:tc>
        <w:tc>
          <w:tcPr>
            <w:tcW w:type="dxa" w:w="2736"/>
            <w:shd w:val="clear" w:fill="EEF2F7"/>
          </w:tcPr>
          <w:p>
            <w:r>
              <w:rPr>
                <w:sz w:val="17"/>
              </w:rPr>
              <w:t>NASA STMD</w:t>
            </w:r>
          </w:p>
        </w:tc>
        <w:tc>
          <w:tcPr>
            <w:tcW w:type="dxa" w:w="2160"/>
            <w:shd w:val="clear" w:fill="EEF2F7"/>
          </w:tcPr>
          <w:p>
            <w:r>
              <w:rPr>
                <w:sz w:val="17"/>
              </w:rPr>
              <w:t>Commercial flight provider</w:t>
            </w:r>
          </w:p>
        </w:tc>
        <w:tc>
          <w:tcPr>
            <w:tcW w:type="dxa" w:w="3456"/>
            <w:shd w:val="clear" w:fill="EEF2F7"/>
          </w:tcPr>
          <w:p>
            <w:r>
              <w:rPr>
                <w:sz w:val="17"/>
              </w:rPr>
              <w:t>BLK3 suborbital provider listing</w:t>
            </w:r>
          </w:p>
        </w:tc>
        <w:tc>
          <w:tcPr>
            <w:tcW w:type="dxa" w:w="1944"/>
            <w:shd w:val="clear" w:fill="EEF2F7"/>
          </w:tcPr>
          <w:p>
            <w:r>
              <w:rPr>
                <w:b/>
                <w:sz w:val="17"/>
              </w:rPr>
              <w:t>In pursuit</w:t>
            </w:r>
          </w:p>
        </w:tc>
        <w:tc>
          <w:tcPr>
            <w:tcW w:type="dxa" w:w="1512"/>
            <w:shd w:val="clear" w:fill="EEF2F7"/>
          </w:tcPr>
          <w:p>
            <w:r>
              <w:rPr>
                <w:sz w:val="17"/>
              </w:rPr>
              <w:t>—</w:t>
            </w:r>
          </w:p>
        </w:tc>
      </w:tr>
    </w:tbl>
    <w:p>
      <w:pPr>
        <w:spacing w:after="60" w:before="160"/>
      </w:pPr>
      <w:r>
        <w:rPr>
          <w:b w:val="0"/>
          <w:color w:val="555555"/>
          <w:sz w:val="16"/>
        </w:rPr>
        <w:t>Exos Aerospace Systems &amp; Technologies, Inc. · CAGE 7EMY6 · UEI CK24BPZGF854 · One of only three FAA-licensed reusable rocket launch providers in the United States.</w:t>
      </w:r>
    </w:p>
    <w:p>
      <w:pPr>
        <w:spacing w:after="0" w:before="0"/>
      </w:pPr>
      <w:r>
        <w:rPr>
          <w:b w:val="0"/>
          <w:color w:val="555555"/>
          <w:sz w:val="15"/>
        </w:rPr>
        <w:t>Note: This schedule reflects business-development pursuits and is separate from the Series A offering. Values shown are program/scope figures where noted, not commitments; RFI/RFQ responses do not constitute awards.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