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40" w:before="0"/>
        <w:jc w:val="center"/>
      </w:pPr>
      <w:r>
        <w:rPr>
          <w:b/>
          <w:i w:val="0"/>
          <w:color w:val="C00000"/>
          <w:sz w:val="18"/>
        </w:rPr>
        <w:t>INTERNAL  ·  DRAFT  ·  NEGOTIATING TERMS  ·  CEO / Board Eyes Only</w:t>
      </w:r>
    </w:p>
    <w:p>
      <w:pPr>
        <w:spacing w:after="40" w:before="0"/>
        <w:jc w:val="center"/>
      </w:pPr>
      <w:r>
        <w:rPr>
          <w:b/>
          <w:i w:val="0"/>
          <w:color w:val="1F3A68"/>
          <w:sz w:val="28"/>
        </w:rPr>
        <w:t>EXOS AEROSPACE — SSLC OPTION B: ACQUISITION OFFER SUMMARY</w:t>
      </w:r>
    </w:p>
    <w:p>
      <w:pPr>
        <w:spacing w:after="100" w:before="0"/>
        <w:jc w:val="center"/>
      </w:pPr>
      <w:r>
        <w:rPr>
          <w:b w:val="0"/>
          <w:i/>
          <w:color w:val="606060"/>
          <w:sz w:val="19"/>
        </w:rPr>
        <w:t>October 7, 2026  ·  Exos Aerospace Systems &amp; Technologies, Inc.</w:t>
      </w:r>
    </w:p>
    <w:p>
      <w:pPr>
        <w:keepNext/>
        <w:spacing w:after="60" w:before="120"/>
      </w:pPr>
      <w:r>
        <w:rPr>
          <w:b/>
          <w:i w:val="0"/>
          <w:color w:val="1F3A68"/>
          <w:sz w:val="24"/>
        </w:rPr>
        <w:t>1.  What SSLC Holders Receive</w:t>
      </w:r>
    </w:p>
    <w:p>
      <w:pPr>
        <w:spacing w:after="60" w:before="0"/>
      </w:pPr>
      <w:r>
        <w:rPr>
          <w:b w:val="0"/>
          <w:i w:val="0"/>
          <w:sz w:val="20"/>
        </w:rPr>
        <w:t>The Exos offer delivers liquidity, relief, and upside across four dimensions — without requiring any additional capital call from current SSLC shareholders.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Cash at close  </w:t>
      </w:r>
      <w:r>
        <w:t>$2,510,000 delivered to SSLC at acquisition close.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Debt relief  </w:t>
      </w:r>
      <w:r>
        <w:t>All SSLC debts paid at face value at close, including the Microcosm loan and Wertz notes (est. ~$500K, to be verified in QuickBooks). Jim Wertz's personal loans are made whole at closing.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No further capital calls  </w:t>
      </w:r>
      <w:r>
        <w:t>Once closed, SSLC's standalone cash drain stops. Shareholders stop funding a working-capital-negative entity.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Earn-out — IM tank revenue  </w:t>
      </w:r>
      <w:r>
        <w:t>5% of Intuitive Machines tank revenue for 3 years, capped at $300K/year (up to $900K total). Tied to SSLC's existing firm IM demand.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Earn-out — Exos stock  </w:t>
      </w:r>
      <w:r>
        <w:t>0.5%–1.0% of Exos fully diluted shares post-RTO listing (est. $1.0M–$3.0M at a $200M–$300M listing; $250M minimum MEV per Ainigma/FNEX mandate).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Exos shares + Y5 hold value  </w:t>
      </w:r>
      <w:r>
        <w:t>Stock earn-out is tradeable post-12-month lockup. Held to FY31 at a 16× EV/EBITDA multiple on the Exos plan (~$1.63B EV), a 0.75% grant (~0.525% after ~30% assumed dilution) is worth ~$8.5M (range $5.7M–$11.4M), ~4.6× its ~$1.875M value at listing. Management assumptions.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IM program continuity  </w:t>
      </w:r>
      <w:r>
        <w:t>No delivery interruption to Intuitive Machines; Exos-SSLC entity continues the contract, preserving SSLC's strongest commercial relationship.</w:t>
      </w:r>
    </w:p>
    <w:p>
      <w:pPr>
        <w:keepNext/>
        <w:spacing w:after="60" w:before="120"/>
      </w:pPr>
      <w:r>
        <w:rPr>
          <w:b/>
          <w:i w:val="0"/>
          <w:color w:val="1F3A68"/>
          <w:sz w:val="24"/>
        </w:rPr>
        <w:t>2.  Why the Growth Trajectory Requires Exos Capital</w:t>
      </w:r>
    </w:p>
    <w:p>
      <w:pPr>
        <w:spacing w:after="60" w:before="0"/>
      </w:pPr>
      <w:r>
        <w:rPr>
          <w:b w:val="0"/>
          <w:i w:val="0"/>
          <w:sz w:val="20"/>
        </w:rPr>
        <w:t>The bottleneck is not the technology or the IM demand — it is working capital.  SSLC's most recent quarter (FY27 Q1) came in at $713K in revenue.  Hitting $5M for FY27 requires averaging $1.43M per quarter in Q2–Q4 — exactly 2.0× that pace — starting immediately.  That doubling is not achievable on SSLC's current $198K cash balance.</w:t>
      </w:r>
    </w:p>
    <w:p>
      <w:pPr>
        <w:spacing w:after="40" w:before="60"/>
      </w:pPr>
      <w:r>
        <w:rPr>
          <w:b/>
          <w:i w:val="0"/>
          <w:sz w:val="20"/>
        </w:rPr>
        <w:t>Standalone constraints (SSLC's own numbers):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Cash position  </w:t>
      </w:r>
      <w:r>
        <w:t>$198K at October 2, 2026 — roughly one month of operating burn.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Working capital gap  </w:t>
      </w:r>
      <w:r>
        <w:t>$300K–$700K needed to maintain delivery commitments and service new IM orders — before SSLC can ramp to the $5M/year run rate.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Operating history  </w:t>
      </w:r>
      <w:r>
        <w:t>FY26 operating loss: −$416K. No self-funding path to production scale.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He-tank rework  </w:t>
      </w:r>
      <w:r>
        <w:t>Rev3 GHe tank 4,400 psi proof issue unresolved (MC #3056). Remediation cost ~$175K to COPV ($300K gap). Resolves cleanly as intercompany under Exos.</w:t>
      </w:r>
    </w:p>
    <w:p>
      <w:pPr>
        <w:spacing w:after="40" w:before="0"/>
        <w:ind w:left="288"/>
      </w:pPr>
      <w:r>
        <w:t xml:space="preserve">•  </w:t>
      </w:r>
      <w:r>
        <w:rPr>
          <w:b/>
        </w:rPr>
        <w:t xml:space="preserve">No capex capacity  </w:t>
      </w:r>
      <w:r>
        <w:t>Production-scale equipment and headcount additions are not fundable from SSLC's cash position. Growth is capped at current run-rate without outside capital.</w:t>
      </w:r>
    </w:p>
    <w:p>
      <w:pPr>
        <w:spacing w:after="40" w:before="0"/>
      </w:pPr>
      <w:r>
        <w:rPr>
          <w:b w:val="0"/>
          <w:i/>
          <w:color w:val="606060"/>
          <w:sz w:val="17"/>
        </w:rPr>
        <w:t>The With-vs-Without comparison, year-by-year CAGR figures, and cumulative revenue gap are in the model spreadsheet: EXOS_SSLC_OptionB_Acquisition_Model_2026-10-07.xlsx, sheet 'With vs Without Exos Capital'.</w:t>
      </w:r>
    </w:p>
    <w:p>
      <w:pPr>
        <w:keepNext/>
        <w:spacing w:after="60" w:before="80"/>
      </w:pPr>
      <w:r>
        <w:rPr>
          <w:b/>
          <w:i w:val="0"/>
          <w:color w:val="1F3A68"/>
          <w:sz w:val="24"/>
        </w:rPr>
        <w:t>3.  Total Compensation — 5-Year View (FY27–FY31)</w:t>
      </w:r>
    </w:p>
    <w:p>
      <w:pPr>
        <w:spacing w:after="40" w:before="0"/>
      </w:pPr>
      <w:r>
        <w:rPr>
          <w:b w:val="0"/>
          <w:i/>
          <w:color w:val="606060"/>
          <w:sz w:val="17"/>
        </w:rPr>
        <w:t>Stacked chart below: funding delivered at close + earn-out forward potential. Base scenario shown; earn-out range (low/high) is in the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2015"/>
        <w:gridCol w:w="2592"/>
      </w:tblGrid>
      <w:tr>
        <w:tc>
          <w:tcPr>
            <w:tcW w:type="dxa" w:w="3312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Amount / Range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Cash at close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Close ~Q1 FY27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$2,510,000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SSLC closing costs (Seller)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Close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Exos stake credit (non-cash)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Close (credit)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$790,000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Debt relief (est., TBV)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Close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~$500,000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WC bridge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Close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$500,000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Earn-out — IM tanks (3 yr)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FY27–FY29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Up to $900,000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Earn-out — Exos stock (RTO)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Post-RTO ~FY28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$1.0M–$3.0M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TOTAL (low / mid / high)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FY27–FY31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$5.8M / $7.0M / $8.3M</w:t>
            </w:r>
          </w:p>
        </w:tc>
      </w:tr>
    </w:tbl>
    <w:p>
      <w:pPr>
        <w:spacing w:after="6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5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LC_OptionB_Total_Compensation_5yr_2026-10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5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b w:val="0"/>
          <w:i/>
          <w:color w:val="606060"/>
          <w:sz w:val="17"/>
        </w:rPr>
        <w:t>Chart: SSLC_OptionB_Total_Compensation_5yr_2026-10-07.png  |  Full model: EXOS_SSLC_OptionB_Acquisition_Model_2026-10-07.xlsx</w:t>
      </w:r>
    </w:p>
    <w:p>
      <w:pPr>
        <w:keepNext/>
        <w:spacing w:after="60" w:before="80"/>
      </w:pPr>
      <w:r>
        <w:rPr>
          <w:b/>
          <w:i w:val="0"/>
          <w:color w:val="1F3A68"/>
          <w:sz w:val="24"/>
        </w:rPr>
        <w:t>4.  Key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903"/>
      </w:tblGrid>
      <w:tr>
        <w:tc>
          <w:tcPr>
            <w:tcW w:type="dxa" w:w="2736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5904"/>
            <w:shd w:val="clear" w:color="auto" w:fill="1F3A68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Agreement basis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May 2025 Asset Acquisition Agreement, §3 exclusivity trigger (non-exclusive → exclusive upon Exos financing agreement)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Total commitment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$3,360,000 ($2.51M cash + $60K costs + $790K Exos stake credit)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Exclusivity period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90 days from SSLC confirmation; extension not unreasonably withheld while financing works in good faith (§3)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Holdback (§7)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5% escrow, released at 12-month anniversary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SSLC debts assumed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Paid at face at close (est. ~$500K; verify QuickBooks)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Disinterested directors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Jon Quinn abstains from SSLC board vote; sends as Exos CEO (Cal. Corp. Code §310)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Fairness opinion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Eqvista engaged 8/14/2026; agreement still unsigned (held ~1 month)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DRAFT — NEGOTIATING TERMS — not a final or binding offer</w:t>
            </w:r>
          </w:p>
        </w:tc>
      </w:tr>
    </w:tbl>
    <w:p>
      <w:pPr>
        <w:spacing w:after="60" w:before="0"/>
      </w:pPr>
    </w:p>
    <w:p>
      <w:pPr>
        <w:spacing w:after="40" w:before="0"/>
      </w:pPr>
      <w:r>
        <w:rPr>
          <w:b w:val="0"/>
          <w:i/>
          <w:color w:val="606060"/>
          <w:sz w:val="17"/>
        </w:rPr>
        <w:t>Detail in model: drafts/EXOS_SSLC_OptionB_Acquisition_Model_2026-10-07.xlsx  ·  With-vs-Without comparison: sheet 'With vs Without Exos Capital'  ·  Exclusivity rescue options: SSLC_Exclusivity_Rescue_Options_and_Draft_Message_2026-10-07_DRAFT_v2.docx</w:t>
      </w:r>
    </w:p>
    <w:p>
      <w:pPr>
        <w:spacing w:after="0" w:before="80"/>
        <w:jc w:val="center"/>
      </w:pPr>
      <w:r>
        <w:rPr>
          <w:b/>
          <w:i w:val="0"/>
          <w:color w:val="C00000"/>
          <w:sz w:val="17"/>
        </w:rPr>
        <w:t>DRAFT — INTERNAL — NEGOTIATING TERMS — John Quinn, CEO, Exos Aerospace — 2026-10-07</w:t>
      </w:r>
    </w:p>
    <w:sectPr w:rsidR="00D02269" w:rsidRPr="007C623E" w:rsidSect="006E0F85">
      <w:headerReference w:type="default" r:id="rId12"/>
      <w:footerReference w:type="default" r:id="rId14"/>
      <w:pgSz w:w="12240" w:h="15840"/>
      <w:pgMar w:top="1584" w:right="576" w:bottom="151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