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2240"/>
          <w:sz w:val="29"/>
        </w:rPr>
        <w:t>AIAA Launch Vehicles and Entry Systems (LVES) Technical Committee — Charter (DRAFT)</w:t>
      </w:r>
    </w:p>
    <w:p/>
    <w:p>
      <w:r>
        <w:t>| Version | Date | Revisions | By |</w:t>
      </w:r>
    </w:p>
    <w:p>
      <w:r>
        <w:t>|---|---|---|---|</w:t>
      </w:r>
    </w:p>
    <w:p>
      <w:r>
        <w:t>| Draft v0.1 | 2026-08-20 | Initial working-group draft for review; expands current LVES scope to reusable upper stages, ISAM/SM&amp;L, and hypersonic — with explicit interfaces | J. Quinn (Exos Aerospace) |</w:t>
      </w:r>
    </w:p>
    <w:p/>
    <w:p>
      <w:r>
        <w:t xml:space="preserve">&gt; </w:t>
      </w:r>
      <w:r>
        <w:rPr>
          <w:b/>
        </w:rPr>
        <w:t>Status:</w:t>
      </w:r>
      <w:r>
        <w:t xml:space="preserve"> DRAFT for the LVES Charter Working Group (Vinson, Honda, Sponable, Ghimire, Anilkumar, Quinn). Not an approved AIAA document. Format follows the standard AIAA TC charter (Committee Name → Scope → Governance → Roles &amp; Responsibilities), consistent with current AIAA TAD Policy &amp; Procedures, which require a charter reviewed annually by TC leadership.</w:t>
      </w:r>
    </w:p>
    <w:p/>
    <w:p>
      <w:r>
        <w:t>---</w:t>
      </w:r>
    </w:p>
    <w:p/>
    <w:p>
      <w:r>
        <w:rPr>
          <w:b/>
          <w:color w:val="0B2240"/>
          <w:sz w:val="26"/>
        </w:rPr>
        <w:t>1. Committee Name</w:t>
      </w:r>
    </w:p>
    <w:p>
      <w:r>
        <w:t>Launch Vehicles and Entry Systems (LVES) Technical Committee.</w:t>
      </w:r>
    </w:p>
    <w:p/>
    <w:p>
      <w:r>
        <w:rPr>
          <w:b/>
          <w:color w:val="0B2240"/>
          <w:sz w:val="26"/>
        </w:rPr>
        <w:t>2. Scope</w:t>
      </w:r>
    </w:p>
    <w:p/>
    <w:p>
      <w:r/>
      <w:r>
        <w:rPr>
          <w:b/>
        </w:rPr>
        <w:t>Core (present anchor — carried from the current LVES charter):</w:t>
      </w:r>
      <w:r/>
    </w:p>
    <w:p>
      <w:r>
        <w:t>To promote the development and implementation of launch vehicle and entry systems; to foster interaction and integration across technical disciplines; and to assure current, comprehensive situational awareness of commercial and government, national and international R&amp;D efforts. The LVES TC brings together industry, academic, and government experts within the framework and charter of the AIAA, serving as a forum for evaluating the design, development, test, and operation of reliable, affordable, and reusable launch and entry systems.</w:t>
      </w:r>
    </w:p>
    <w:p/>
    <w:p>
      <w:r/>
      <w:r>
        <w:rPr>
          <w:b/>
        </w:rPr>
        <w:t>Core scope explicitly includes:</w:t>
      </w:r>
      <w:r/>
    </w:p>
    <w:p>
      <w:pPr>
        <w:pStyle w:val="ListBullet"/>
      </w:pPr>
      <w:r>
        <w:t>Expendable launch vehicles (ELVs) and reusable launch vehicles (RLVs) — full vehicle systems, integration, and operations.</w:t>
      </w:r>
    </w:p>
    <w:p>
      <w:pPr>
        <w:pStyle w:val="ListBullet"/>
      </w:pPr>
      <w:r>
        <w:t xml:space="preserve">Upper stages, with an explicit </w:t>
      </w:r>
      <w:r>
        <w:rPr>
          <w:b/>
        </w:rPr>
        <w:t>step toward reusable upper stages</w:t>
      </w:r>
      <w:r>
        <w:t xml:space="preserve"> and the technologies that enable them: space mobility &amp; logistics (SM&amp;L), in-space servicing, assembly &amp; manufacturing (ISAM), on-orbit / in-space refueling, and dynamic maneuver.</w:t>
      </w:r>
    </w:p>
    <w:p>
      <w:pPr>
        <w:pStyle w:val="ListBullet"/>
      </w:pPr>
      <w:r>
        <w:t>Entry, descent, and recovery systems for reusable and returning vehicles.</w:t>
      </w:r>
    </w:p>
    <w:p>
      <w:pPr>
        <w:pStyle w:val="ListBullet"/>
      </w:pPr>
      <w:r>
        <w:t xml:space="preserve">Hypersonic </w:t>
      </w:r>
      <w:r>
        <w:rPr>
          <w:b/>
        </w:rPr>
        <w:t>suborbital rockets</w:t>
      </w:r>
      <w:r>
        <w:t xml:space="preserve"> (rocket-powered boost/sounding/test platforms), where they share vehicle, propulsion, GNC, thermal, and operations technology with launch and entry.</w:t>
      </w:r>
    </w:p>
    <w:p>
      <w:pPr>
        <w:pStyle w:val="ListBullet"/>
      </w:pPr>
      <w:r/>
      <w:r>
        <w:rPr>
          <w:b/>
        </w:rPr>
        <w:t>Cross-cutting operability, reliability, and safety</w:t>
      </w:r>
      <w:r>
        <w:t xml:space="preserve"> of ELVs, RLVs, and the concepts above — treated as a standing theme, not a sidebar, since it is the connective tissue across every vehicle class.</w:t>
      </w:r>
    </w:p>
    <w:p/>
    <w:p>
      <w:r/>
      <w:r>
        <w:rPr>
          <w:b/>
        </w:rPr>
        <w:t>Interfaces (coordinate, do not absorb):</w:t>
      </w:r>
      <w:r/>
    </w:p>
    <w:p>
      <w:r>
        <w:t>The following are named as interface areas so the door stays open to shared technology without diluting the charter or duplicating another committee's mandate:</w:t>
      </w:r>
    </w:p>
    <w:p>
      <w:pPr>
        <w:pStyle w:val="ListBullet"/>
      </w:pPr>
      <w:r/>
      <w:r>
        <w:rPr>
          <w:b/>
        </w:rPr>
        <w:t>Rocket-powered hypersonic aircraft</w:t>
      </w:r>
      <w:r>
        <w:t xml:space="preserve"> and </w:t>
      </w:r>
      <w:r>
        <w:rPr>
          <w:b/>
        </w:rPr>
        <w:t>airbreathing hypersonic</w:t>
      </w:r>
      <w:r>
        <w:t xml:space="preserve"> concepts — strong common-technology overlap (structures, TPS, propulsion integration, operability); coordinated with the relevant Hypersonic / High-Speed Air-Breathing Propulsion committees rather than owned here.</w:t>
      </w:r>
    </w:p>
    <w:p>
      <w:pPr>
        <w:pStyle w:val="ListBullet"/>
      </w:pPr>
      <w:r/>
      <w:r>
        <w:rPr>
          <w:b/>
        </w:rPr>
        <w:t>Propulsion</w:t>
      </w:r>
      <w:r>
        <w:t xml:space="preserve"> (Liquid, Solid, Hybrid, Nuclear &amp; Future Flight) — LVES addresses propulsion at the vehicle-integration level; component R&amp;D remains with the propulsion TCs.</w:t>
      </w:r>
    </w:p>
    <w:p>
      <w:pPr>
        <w:pStyle w:val="ListBullet"/>
      </w:pPr>
      <w:r/>
      <w:r>
        <w:rPr>
          <w:b/>
        </w:rPr>
        <w:t>Space logistics, ISAM, and spacecraft</w:t>
      </w:r>
      <w:r>
        <w:t xml:space="preserve"> committees — LVES owns the launch/upper-stage/entry vehicle and its step to reusability; the on-orbit servicing mission architecture is a shared boundary.</w:t>
      </w:r>
    </w:p>
    <w:p>
      <w:pPr>
        <w:pStyle w:val="ListBullet"/>
      </w:pPr>
      <w:r/>
      <w:r>
        <w:rPr>
          <w:b/>
        </w:rPr>
        <w:t>Space transportation policy, spaceports, range &amp; safety, GNC</w:t>
      </w:r>
      <w:r>
        <w:t xml:space="preserve"> — coordinated for standards, operability, and regulatory input.</w:t>
      </w:r>
    </w:p>
    <w:p/>
    <w:p>
      <w:r/>
      <w:r>
        <w:rPr>
          <w:b/>
        </w:rPr>
        <w:t>Explicit exclusions (constrain the problem):</w:t>
      </w:r>
      <w:r/>
    </w:p>
    <w:p>
      <w:pPr>
        <w:pStyle w:val="ListBullet"/>
      </w:pPr>
      <w:r>
        <w:t>Payload/spacecraft bus design beyond the launch/upper-stage interface.</w:t>
      </w:r>
    </w:p>
    <w:p>
      <w:pPr>
        <w:pStyle w:val="ListBullet"/>
      </w:pPr>
      <w:r>
        <w:t>Air-breathing propulsion component development (interface only).</w:t>
      </w:r>
    </w:p>
    <w:p>
      <w:pPr>
        <w:pStyle w:val="ListBullet"/>
      </w:pPr>
      <w:r>
        <w:t>Purely orbital on-station operations unrelated to launch, upper-stage, entry, or reusability.</w:t>
      </w:r>
    </w:p>
    <w:p/>
    <w:p>
      <w:r>
        <w:rPr>
          <w:b/>
          <w:color w:val="0B2240"/>
          <w:sz w:val="26"/>
        </w:rPr>
        <w:t>3. Governance</w:t>
      </w:r>
    </w:p>
    <w:p>
      <w:r>
        <w:t>Technical Committee under the [AIAA Group — TBD by working group, e.g., Space &amp; Missiles Group]. Charter reviewed annually by TC leadership per AIAA TAD Policy &amp; Procedures. Membership balanced across industry, academia, and government; across the specialties in scope; and across U.S. and international representation.</w:t>
      </w:r>
    </w:p>
    <w:p/>
    <w:p>
      <w:r>
        <w:rPr>
          <w:b/>
          <w:color w:val="0B2240"/>
          <w:sz w:val="26"/>
        </w:rPr>
        <w:t>4. Roles &amp; Responsibilities</w:t>
      </w:r>
    </w:p>
    <w:p/>
    <w:p>
      <w:r/>
      <w:r>
        <w:rPr>
          <w:b/>
        </w:rPr>
        <w:t>4.a Institute (AIAA) activities</w:t>
      </w:r>
      <w:r/>
    </w:p>
    <w:p>
      <w:pPr>
        <w:pStyle w:val="ListBullet"/>
      </w:pPr>
      <w:r>
        <w:t>Organize and lead technical sessions, panels, and Forum 360 content at AIAA SciTech, AVIATION, and ASCEND; coordinate co-sponsored sessions with interface committees.</w:t>
      </w:r>
    </w:p>
    <w:p>
      <w:pPr>
        <w:pStyle w:val="ListBullet"/>
      </w:pPr>
      <w:r>
        <w:t xml:space="preserve">Develop and maintain a </w:t>
      </w:r>
      <w:r>
        <w:rPr>
          <w:b/>
        </w:rPr>
        <w:t>launch/entry &amp; reusable-upper-stage technology roadmap</w:t>
      </w:r>
      <w:r>
        <w:t>; provide standards and policy input where the community needs a common reference.</w:t>
      </w:r>
    </w:p>
    <w:p>
      <w:pPr>
        <w:pStyle w:val="ListBullet"/>
      </w:pPr>
      <w:r>
        <w:t>Honors &amp; awards oversight; best-practice and lessons-learned capture across ELV/RLV operability, reliability, and safety.</w:t>
      </w:r>
    </w:p>
    <w:p/>
    <w:p>
      <w:r/>
      <w:r>
        <w:rPr>
          <w:b/>
        </w:rPr>
        <w:t>4.b External / community activities</w:t>
      </w:r>
      <w:r/>
    </w:p>
    <w:p>
      <w:pPr>
        <w:pStyle w:val="ListBullet"/>
      </w:pPr>
      <w:r>
        <w:t>Situational awareness of commercial and government, national and international R&amp;D — briefed back to the community.</w:t>
      </w:r>
    </w:p>
    <w:p>
      <w:pPr>
        <w:pStyle w:val="ListBullet"/>
      </w:pPr>
      <w:r>
        <w:t>STEM and workforce outreach; university engagement (e.g., student design, flight-test, and payload opportunities).</w:t>
      </w:r>
    </w:p>
    <w:p>
      <w:pPr>
        <w:pStyle w:val="ListBullet"/>
      </w:pPr>
      <w:r>
        <w:t>Liaison to interface committees and to external bodies (standards, range/safety, spaceport, policy).</w:t>
      </w:r>
    </w:p>
    <w:p/>
    <w:p>
      <w:r/>
      <w:r>
        <w:rPr>
          <w:b/>
        </w:rPr>
        <w:t>4.c Deliverables (next 12–24 months — proposed)</w:t>
      </w:r>
      <w:r/>
    </w:p>
    <w:p>
      <w:r>
        <w:t>1. Two or more named technical sessions/panels per forum cycle across the core scope.</w:t>
      </w:r>
    </w:p>
    <w:p>
      <w:r>
        <w:t>2. A first-issue technology roadmap covering ELV/RLV + the step to reusable upper stages (SM&amp;L / ISAM / refueling).</w:t>
      </w:r>
    </w:p>
    <w:p>
      <w:r>
        <w:t>3. A standing operability–reliability–safety working thread with an annual state-of-the-field readout.</w:t>
      </w:r>
    </w:p>
    <w:p/>
    <w:p>
      <w:r>
        <w:rPr>
          <w:b/>
          <w:color w:val="0B2240"/>
          <w:sz w:val="26"/>
        </w:rPr>
        <w:t>5. Objectives Ledger (proposed governance mechanism)</w:t>
      </w:r>
    </w:p>
    <w:p>
      <w:r>
        <w:t xml:space="preserve">Every committee objective carries an </w:t>
      </w:r>
      <w:r>
        <w:rPr>
          <w:b/>
        </w:rPr>
        <w:t>owner, deliverable, due date, and quarterly status</w:t>
      </w:r>
      <w:r>
        <w:t xml:space="preserve"> on one shared page. This is included in the charter from day one so the committee is measured on tangible output (named sessions, a roadmap, standards input) rather than minutes. Exos has offered to stand up and maintain the ledger for the group.</w:t>
      </w:r>
    </w:p>
    <w:p/>
    <w:p>
      <w:r>
        <w:t>---</w:t>
      </w:r>
    </w:p>
    <w:p>
      <w:r>
        <w:t>*Prepared by Exos Aerospace (J. Quinn) as a working-group draft. Bracketed items [ ] require group decision. Source format: AIAA TC charters (e.g., Adaptive Structures, Transformational Flight) + current AIAA LVES TC scope + AIAA TAD Policy &amp; Procedures.*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