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2A4A"/>
          <w:sz w:val="30"/>
        </w:rPr>
        <w:t>5.1  MARKET RESEARCH</w:t>
      </w:r>
    </w:p>
    <w:p>
      <w:pPr>
        <w:spacing w:after="180"/>
        <w:jc w:val="center"/>
      </w:pPr>
      <w:r>
        <w:rPr>
          <w:i/>
          <w:color w:val="007AA8"/>
          <w:sz w:val="20"/>
        </w:rPr>
        <w:t>Exos Aerospace Systems &amp; Technologies, Inc.  ·  Series A Data Room  ·  August 2026</w:t>
      </w:r>
    </w:p>
    <w:p>
      <w:pPr>
        <w:spacing w:after="100"/>
      </w:pPr>
      <w:r>
        <w:rPr>
          <w:rFonts w:ascii="Calibri" w:hAnsi="Calibri"/>
          <w:b w:val="0"/>
          <w:i/>
          <w:color w:val="888888"/>
          <w:sz w:val="17"/>
        </w:rPr>
        <w:t>Confidential — for the intended investor only. Forward-looking statements reflect management estimates; see disclaimers. Financial figures cited are directional market context from public sources, not Exos projections.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1.  The macro backdrop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Capital is flowing into the re-industrialization of the physical world — an economy measured in the tens of trillions of dollars — and defense and aerospace are two of its hottest sectors. The 2026 U.S. National Space Transportation Policy set an explicit national objective of enabling on the order of 1,000+ launches AND reentries per year by 2030, a step-change in cadence that rewards reusability, responsiveness, and domestic industrial capacity. Two structural realities compound the opportunity: the largest launch providers have little-to-no spare capacity for third-party test and qualification work, and the Department of War is actively onshoring the composite and propulsion industrial base through the Office of Strategic Capital (OSC) and DPA Title III.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2.  The markets Exos serves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2.1  Reusable suborbital launch &amp; flight-test / qualification services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operates a FAA-licensed, reusable, recoverable suborbital vehicle (BLK3 PSRLV) purpose-built to fly and return candidate hardware — propulsion, avionics, GNC, seekers, divert-and-attitude-control — through a real high-speed, high-dynamic-pressure environment and hand it back within days. Demand comes from the Department of War and MDA (subsystem flight-test and qualification, where Exos primes the TEST scope under a weapon prime), NASA's Flight Opportunities program, and commercial hardware developers who need a low-cost, iterative ground-then-flight cadence rather than a costly single orbital shot.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2.2  Hosted payloads &amp; microgravity research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The reusable platform hosts research and commercial payloads — pharmaceutical crystallization, biotechnology, and materials science that benefit from minutes of microgravity plus recovery. Two Exos flights above 85 km unlock access to NASA Flight Opportunities (on the order of ~$1M per flight). Exos has flight heritage returning live biological payloads on suborbital missions.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2.3  Cryogenic composite tankage &amp; in-space mobility (Scorpius Type-5)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Scorpius Space Launch Company — in which Exos holds an 18% interest plus a right of first refusal — is the only TRL-9 source of linerless (Type-5) composite cryogenic tanks, flown as the fuel and LOX tanks on Intuitive Machines' Odysseus and Athena lunar landers. This positions the combined company in the fastest-emerging space market: orbital transfer / in-space mobility and propellant management. Industry analysts characterize orbital mobility as moving 'from a niche to a massive market opportunity,' and the same tank technology is the baseline design for Intuitive Machines' 'Nebula' orbital transfer vehicle. Zero-boil-off (ZBO) cryogenic fluid management is moving from design to flight (NASA reverse-turbo-Brayton cryocooler tests, Eta Space LOXSAT, DoD-funded orbital depots), which pulls demand for flight-qualified cryogenic composite tankage.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2.4  Advanced propulsion (RDRE)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Rotating Detonation Rocket Engines (RDRE) are crossing from ground test to flight, with material public investment and DoD interest for boost and effector applications. Exos does not develop the engine; it provides the only reusable, recoverable flight-test platform able to characterize an RDRE across the full altitude envelope — the gap between TRL 5-6 ground test and a boost-viable engine — funded on a non-dilutive path (SBIR Phase II FA9300-25-C-6022, TACFI, and sole-source Phase III eligibility).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2.5  Composite defense industrial base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OSC and DPA Title III capital is flowing to composite and solid-rocket-motor industrial-base plays (cumulatively $700M+ across FY26 recipients). Exos participates as a prime integrator and flight-test partner for composite motor-case and naval composite structures, with an acquisition path (CTD; Southwest Composite Works) to bring domestic composite capacity in-house.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3.  Market sizing (directional)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Global launch services </w:t>
      </w:r>
      <w:r>
        <w:rPr>
          <w:rFonts w:ascii="Calibri" w:hAnsi="Calibri"/>
          <w:sz w:val="20"/>
        </w:rPr>
        <w:t>a multi-billion-dollar market (public estimates on the order of ~$15-20B and growing at double-digit rates), within which reusable, responsive, and flight-test/qualification services are the fastest-growing, capacity-constrained segments.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In-space mobility / CFM </w:t>
      </w:r>
      <w:r>
        <w:rPr>
          <w:rFonts w:ascii="Calibri" w:hAnsi="Calibri"/>
          <w:sz w:val="20"/>
        </w:rPr>
        <w:t>characterized by industry as transitioning from niche to mass market; driven by cislunar cadence, depots, and orbital transfer vehicles — the direct addressable market for Scorpius Type-5 tankage.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Advanced propulsion &amp; defense composites </w:t>
      </w:r>
      <w:r>
        <w:rPr>
          <w:rFonts w:ascii="Calibri" w:hAnsi="Calibri"/>
          <w:sz w:val="20"/>
        </w:rPr>
        <w:t>anchored by non-dilutive federal capital (SBIR/STTR, TACFI/STRATFI, OSC, DPA Title III) and MDA/DoW demand for low-cost, domestically-produced propulsion and composite structures.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Exos's serviceable position is deliberately narrow and defensible: it monetizes reusable flight-test capacity, lunar-proven cryogenic IP, and a domestic composite/propulsion supply chain — segments where the largest players are absent or capacity-constrained.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4.  Demand drivers &amp; tailwinds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National Space Transportation Policy (1,000+ launches/reentries by 2030) rewards reusability and cadence.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DoW/MDA responsiveness + industrial-base onshoring (OSC, DPA Title III) — direct pull for domestic composite and flight-test capacity.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Cislunar and orbital-mobility cadence — Scorpius Type-5 tanks already lunar-flown (Odysseus, Athena); baseline for the IM Nebula OTV.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No spare capacity at the largest launch providers, leaving the test/qualification lane open.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Pharma and biotech microgravity demand for recoverable suborbital access.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5.  Why now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RDRE is crossing to flight, ZBO cryogenic management is moving from design to flight, and defense industrial-base capital is being deployed — all within a narrow window. Exos is one of only three FAA-licensed reusable suborbital launch providers in the United States, holds a right of first refusal on the only TRL-9 lunar-proven Type-5 cryogenic tank technology at a frozen 2021 basis, and closed FY2025 profitable — a rare combination of asymmetric IP, differentiated capability, and financial discipline entering a market inflection.</w:t>
      </w:r>
    </w:p>
    <w:p>
      <w:pPr>
        <w:spacing w:after="0"/>
      </w:pPr>
      <w:r>
        <w:rPr>
          <w:rFonts w:ascii="Calibri" w:hAnsi="Calibri"/>
          <w:b w:val="0"/>
          <w:i w:val="0"/>
          <w:color w:val="888888"/>
          <w:sz w:val="16"/>
        </w:rPr>
        <w:t>Sources: 2026 U.S. National Space Transportation Policy; NASA Flight Opportunities &amp; CFM/ZBO program disclosures; SMAD / Intuitive Machines orbital-mobility commentary; public OSC/DPA Title III award announcements; Exos &amp; Scorpius program records. BLK3 holds an FAA license (2026) and has not yet flown commercially. Exos flight-tests, and does not develop, RDRE hardware.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440" w:bottom="144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3017520" cy="4954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7520" cy="4954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880360" cy="594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360" cy="59472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