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goals are met — IM tank deliveries, revenue milestones and the Exos listing — SSLC holders share directly in the upside.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$1,875K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$3,000K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0.5% / 0.75%</w:t>
            </w:r>
            <w:r>
              <w:br/>
            </w:r>
            <w:r>
              <w:rPr>
                <w:sz w:val="16"/>
              </w:rPr>
              <w:t>/ 1.0% FD; principals' lockup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$8,135K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$9,960K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$5.1M for FY27 requires averaging $1.46M per quarter in Q2–Q4 — approximately 2.05×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$5.1M/year target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Low / Base / High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WC bridge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— / $500K / $500K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Subtotal: funding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$3,860K / $4,360K / $4,360K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Tank earn-out (5 yr, 5%/yr)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— / $1,000K / $1,250K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Milestone earn-outs (5 triggers)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— / $650K / $1,350K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stock earn-out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$1,000K / $1,875K / $3,000K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OFFER VALUE (5-yr)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$4.9M / $7.9M / $10.0M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5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John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