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40" w:before="0"/>
      </w:pPr>
      <w:r>
        <w:rPr>
          <w:b w:val="0"/>
          <w:i/>
          <w:color w:val="800000"/>
          <w:sz w:val="16"/>
        </w:rPr>
        <w:t>INTERNAL — DRAFT — [Counsel review required] — CEO eyes only</w:t>
      </w:r>
    </w:p>
    <w:p>
      <w:pPr>
        <w:spacing w:after="40" w:before="80"/>
        <w:jc w:val="center"/>
      </w:pPr>
      <w:r>
        <w:rPr>
          <w:b/>
          <w:i w:val="0"/>
          <w:color w:val="1F3A68"/>
          <w:sz w:val="28"/>
        </w:rPr>
        <w:t>EXOS AEROSPACE — SSLC OPTION B ACQUISITION OFFER</w:t>
      </w:r>
    </w:p>
    <w:p>
      <w:pPr>
        <w:spacing w:after="120" w:before="0"/>
        <w:jc w:val="center"/>
      </w:pPr>
      <w:r>
        <w:rPr>
          <w:b w:val="0"/>
          <w:i/>
          <w:color w:val="2E75B6"/>
          <w:sz w:val="20"/>
        </w:rPr>
        <w:t>Board Decision Summary · October 7, 2026</w:t>
      </w:r>
    </w:p>
    <w:p>
      <w:pPr>
        <w:keepNext/>
        <w:spacing w:after="60" w:before="80"/>
      </w:pPr>
      <w:r>
        <w:rPr>
          <w:b/>
          <w:i w:val="0"/>
          <w:color w:val="1F3A68"/>
          <w:sz w:val="24"/>
        </w:rPr>
        <w:t>EXECUTIVE SUMMARY</w:t>
      </w:r>
    </w:p>
    <w:p>
      <w:pPr>
        <w:spacing w:after="60" w:before="0"/>
      </w:pPr>
      <w:r>
        <w:rPr>
          <w:b w:val="0"/>
          <w:i w:val="0"/>
          <w:sz w:val="20"/>
        </w:rPr>
        <w:t>Jon Quinn (CEO) has directed Exos to proceed with Option B: invoke §3 exclusivity of the May 2025 Asset Acquisition Agreement at the 2025 board-approved price, with an earn-out tied to Intuitive Machines (IM) tank deliveries and/or listed Exos stock post-RTO. Scorpius Space Launch Company (SSLC) debts are paid at face value at close, providing Jim Wertz's personal path to yes. This is separate from the ROFR the board declined; it proceeds on the signed, board-approved §3 exclusivity trigger.</w:t>
      </w:r>
    </w:p>
    <w:p>
      <w:pPr>
        <w:keepNext/>
        <w:spacing w:after="60" w:before="120"/>
      </w:pPr>
      <w:r>
        <w:rPr>
          <w:b/>
          <w:i w:val="0"/>
          <w:color w:val="1F3A68"/>
          <w:sz w:val="24"/>
        </w:rPr>
        <w:t>DEAL TERMS (Option B)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  <w:gridCol w:w="2592"/>
        <w:gridCol w:w="3888"/>
      </w:tblGrid>
      <w:tr>
        <w:tc>
          <w:tcPr>
            <w:tcW w:type="dxa" w:w="3168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Component</w:t>
            </w:r>
          </w:p>
        </w:tc>
        <w:tc>
          <w:tcPr>
            <w:tcW w:type="dxa" w:w="2592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Amount</w:t>
            </w:r>
          </w:p>
        </w:tc>
        <w:tc>
          <w:tcPr>
            <w:tcW w:type="dxa" w:w="3888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Base acquisition price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$3,360,000</w:t>
            </w:r>
          </w:p>
        </w:tc>
        <w:tc>
          <w:tcPr>
            <w:tcW w:type="dxa" w:w="3888"/>
          </w:tcPr>
          <w:p>
            <w:r/>
            <w:r>
              <w:rPr>
                <w:sz w:val="18"/>
              </w:rPr>
              <w:t>§3 / §1 price; cash + stake credit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 xml:space="preserve">  Cash at close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$2,510,000</w:t>
            </w:r>
          </w:p>
        </w:tc>
        <w:tc>
          <w:tcPr>
            <w:tcW w:type="dxa" w:w="3888"/>
          </w:tcPr>
          <w:p>
            <w:r/>
            <w:r>
              <w:rPr>
                <w:sz w:val="18"/>
              </w:rPr>
              <w:t>Exos cash; from Series A first close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 xml:space="preserve">  SSLC costs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$60,000</w:t>
            </w:r>
          </w:p>
        </w:tc>
        <w:tc>
          <w:tcPr>
            <w:tcW w:type="dxa" w:w="3888"/>
          </w:tcPr>
          <w:p>
            <w:r/>
            <w:r>
              <w:rPr>
                <w:sz w:val="18"/>
              </w:rPr>
              <w:t>Seller's costs (§3)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 xml:space="preserve">  Exos stake credit (18%)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($790,000)</w:t>
            </w:r>
          </w:p>
        </w:tc>
        <w:tc>
          <w:tcPr>
            <w:tcW w:type="dxa" w:w="3888"/>
          </w:tcPr>
          <w:p>
            <w:r/>
            <w:r>
              <w:rPr>
                <w:sz w:val="18"/>
              </w:rPr>
              <w:t>Non-cash; existing 18% equity at 2021 basis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5% escrow holdback (§7, 12 mo.)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$168,000</w:t>
            </w:r>
          </w:p>
        </w:tc>
        <w:tc>
          <w:tcPr>
            <w:tcW w:type="dxa" w:w="3888"/>
          </w:tcPr>
          <w:p>
            <w:r/>
            <w:r>
              <w:rPr>
                <w:sz w:val="18"/>
              </w:rPr>
              <w:t>Released at 12-month anniversary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SSLC debts assumed at face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~$500K (TBV)</w:t>
            </w:r>
          </w:p>
        </w:tc>
        <w:tc>
          <w:tcPr>
            <w:tcW w:type="dxa" w:w="3888"/>
          </w:tcPr>
          <w:p>
            <w:r/>
            <w:r>
              <w:rPr>
                <w:sz w:val="18"/>
              </w:rPr>
              <w:t>Microcosm/Wertz notes + AP — to verify in SSLC QB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Earn-out i: IM tank revenue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5% of rev, $300K cap/yr, 3 yrs</w:t>
            </w:r>
          </w:p>
        </w:tc>
        <w:tc>
          <w:tcPr>
            <w:tcW w:type="dxa" w:w="3888"/>
          </w:tcPr>
          <w:p>
            <w:r/>
            <w:r>
              <w:rPr>
                <w:sz w:val="18"/>
              </w:rPr>
              <w:t>Low/Base/High: $450K / $750K / $900K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Earn-out ii: Exos stock post-RTO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0.5% of FD shares, 12-mo lockup</w:t>
            </w:r>
          </w:p>
        </w:tc>
        <w:tc>
          <w:tcPr>
            <w:tcW w:type="dxa" w:w="3888"/>
          </w:tcPr>
          <w:p>
            <w:r/>
            <w:r>
              <w:rPr>
                <w:sz w:val="18"/>
              </w:rPr>
              <w:t>Low/Base/High: $600K / $1.25M / $2.1M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TOTAL CONSIDERATION (Base, combined)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$5,860,000</w:t>
            </w:r>
          </w:p>
        </w:tc>
        <w:tc>
          <w:tcPr>
            <w:tcW w:type="dxa" w:w="3888"/>
          </w:tcPr>
          <w:p>
            <w:r/>
            <w:r>
              <w:rPr>
                <w:sz w:val="18"/>
              </w:rPr>
              <w:t>Low: $4.91M | Base: $5.86M | High: $6.86M</w:t>
            </w:r>
          </w:p>
        </w:tc>
      </w:tr>
    </w:tbl>
    <w:p>
      <w:pPr>
        <w:spacing w:after="80" w:before="0"/>
      </w:pPr>
    </w:p>
    <w:p>
      <w:pPr>
        <w:spacing w:after="40" w:before="0"/>
      </w:pPr>
      <w:r>
        <w:rPr>
          <w:b w:val="0"/>
          <w:i/>
          <w:color w:val="606060"/>
          <w:sz w:val="18"/>
        </w:rPr>
        <w:t>TBV = to be verified in SSLC QuickBooks (QB session expired 10/7; must verify before signing).</w:t>
      </w:r>
    </w:p>
    <w:p>
      <w:pPr>
        <w:keepNext/>
        <w:spacing w:after="60" w:before="80"/>
      </w:pPr>
      <w:r>
        <w:rPr>
          <w:b/>
          <w:i w:val="0"/>
          <w:color w:val="1F3A68"/>
          <w:sz w:val="24"/>
        </w:rPr>
        <w:t>1-YEAR AND 5-YEAR HEADLINE NUMBERS (Exos + SSLC Consolidated)</w:t>
      </w:r>
    </w:p>
    <w:p>
      <w:pPr>
        <w:spacing w:after="40" w:before="0"/>
      </w:pPr>
      <w:r>
        <w:rPr>
          <w:b w:val="0"/>
          <w:i/>
          <w:color w:val="606060"/>
          <w:sz w:val="18"/>
        </w:rPr>
        <w:t>All figures management assumptions. Exos standalone from v15 commission-only baseline. SSLC FY27 IM tanks $5M confirmed by Markus Rufer (10/2). Post-acquisition: 15% commission eliminated as intercompany.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  <w:gridCol w:w="2160"/>
        <w:gridCol w:w="2160"/>
        <w:gridCol w:w="2160"/>
      </w:tblGrid>
      <w:tr>
        <w:tc>
          <w:tcPr>
            <w:tcW w:type="dxa" w:w="3168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2160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FY27 (Year 1)</w:t>
            </w:r>
          </w:p>
        </w:tc>
        <w:tc>
          <w:tcPr>
            <w:tcW w:type="dxa" w:w="2160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FY31 (Year 5)</w:t>
            </w:r>
          </w:p>
        </w:tc>
        <w:tc>
          <w:tcPr>
            <w:tcW w:type="dxa" w:w="2160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SSLC Revenue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$5,500,000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$16,500,000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IM tanks $5M firm + $0.5M other FY27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Exos Standalone Revenue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$2,600,000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$16,000,000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v15 baseline excl. SSLC commission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Net Consolidated Revenue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$7,600,000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$31,600,000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After intercompany elimination ($500K FY27)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SSLC EBITDA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+$1,240,000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+$6,015,000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Positive from close; accretive to Exos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Exos Standalone EBITDA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−$4,000,000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+$5,000,000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BLK3 investment phase FY27; improving FY28+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Consolidated EBITDA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−$2,760,000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+$11,015,000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Exos development costs dominate FY27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v15 Benchmark SSLC revenue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$900,000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$21,000,000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Old acquisition model; Option B FY27 ×6.1×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Cash need at close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$3,010,000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Acquisition $2.51M + WC bridge $0.5M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Series A first close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$10,000,000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Covers acquisition, WC bridge, and Exos ops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Net remaining for Exos ops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$6,990,000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After SSLC cash deployment</w:t>
            </w:r>
          </w:p>
        </w:tc>
      </w:tr>
    </w:tbl>
    <w:p>
      <w:pPr>
        <w:spacing w:after="80" w:before="0"/>
      </w:pPr>
    </w:p>
    <w:p>
      <w:r>
        <w:br w:type="page"/>
      </w:r>
    </w:p>
    <w:p>
      <w:pPr>
        <w:keepNext/>
        <w:spacing w:after="60" w:before="80"/>
      </w:pPr>
      <w:r>
        <w:rPr>
          <w:b/>
          <w:i w:val="0"/>
          <w:color w:val="1F3A68"/>
          <w:sz w:val="24"/>
        </w:rPr>
        <w:t>EARN-OUT OPTIONS (Two Variants; Combined Recommended)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2736"/>
        <w:gridCol w:w="2736"/>
        <w:gridCol w:w="2304"/>
      </w:tblGrid>
      <w:tr>
        <w:tc>
          <w:tcPr>
            <w:tcW w:type="dxa" w:w="1872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2736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Earn-Out i: IM Tank Revenue</w:t>
            </w:r>
          </w:p>
        </w:tc>
        <w:tc>
          <w:tcPr>
            <w:tcW w:type="dxa" w:w="2736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Earn-Out ii: Exos Stock</w:t>
            </w:r>
          </w:p>
        </w:tc>
        <w:tc>
          <w:tcPr>
            <w:tcW w:type="dxa" w:w="2304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Combined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8"/>
              </w:rPr>
              <w:t>Structure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% of SSLC IM hardware revenue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Exos common stock at listing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Both i + ii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8"/>
              </w:rPr>
              <w:t>Mechanics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5% annual, $300K cap, 3-year term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0.5% of FD shares; 12-mo lockup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Each on own schedule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8"/>
              </w:rPr>
              <w:t>Low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$450,000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$600,000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$1,050,000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8"/>
              </w:rPr>
              <w:t>Base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$750,000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$1,250,000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$2,000,000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8"/>
              </w:rPr>
              <w:t>High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$900,000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$2,100,000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$3,000,000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8"/>
              </w:rPr>
              <w:t>Dilution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None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~0.5% of FD shares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~0.5% — non-material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8"/>
              </w:rPr>
              <w:t>Rationale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Rewards SSLC sellers for IM growth they enabled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Aligns SSLC sellers with Exos upside post-RTO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Best protection for all parties</w:t>
            </w:r>
          </w:p>
        </w:tc>
      </w:tr>
    </w:tbl>
    <w:p>
      <w:pPr>
        <w:spacing w:after="80" w:before="0"/>
      </w:pPr>
    </w:p>
    <w:p>
      <w:pPr>
        <w:keepNext/>
        <w:spacing w:after="60" w:before="120"/>
      </w:pPr>
      <w:r>
        <w:rPr>
          <w:b/>
          <w:i w:val="0"/>
          <w:color w:val="1F3A68"/>
          <w:sz w:val="24"/>
        </w:rPr>
        <w:t>RISKS AND MITIGATIONS</w:t>
      </w:r>
    </w:p>
    <w:p>
      <w:pPr>
        <w:keepNext/>
        <w:spacing w:after="40" w:before="80"/>
      </w:pPr>
      <w:r>
        <w:rPr>
          <w:b/>
          <w:i w:val="0"/>
          <w:color w:val="2E75B6"/>
          <w:sz w:val="21"/>
        </w:rPr>
        <w:t>§3 Trigger Gap</w:t>
      </w:r>
    </w:p>
    <w:p>
      <w:pPr>
        <w:spacing w:after="40" w:before="0"/>
        <w:ind w:left="288"/>
      </w:pPr>
      <w:r>
        <w:t xml:space="preserve">•  </w:t>
      </w:r>
      <w:r>
        <w:rPr>
          <w:b/>
        </w:rPr>
        <w:t xml:space="preserve">Risk: </w:t>
      </w:r>
      <w:r>
        <w:t>FNEX/Ainigma is an advisor/broker-dealer, not itself an 'investor or lender'. SSLC counsel (Danny) may challenge the trigger.</w:t>
      </w:r>
    </w:p>
    <w:p>
      <w:pPr>
        <w:spacing w:after="40" w:before="0"/>
        <w:ind w:left="288"/>
      </w:pPr>
      <w:r>
        <w:t xml:space="preserve">•  </w:t>
      </w:r>
      <w:r>
        <w:rPr>
          <w:b/>
        </w:rPr>
        <w:t xml:space="preserve">Mitigation: </w:t>
      </w:r>
      <w:r>
        <w:t>Attach countersigned FNEX agreement + investor/sponsor use-of-proceeds letter naming the SSLC asset purchase. [Confirm D-7281974 is countersigned.]</w:t>
      </w:r>
    </w:p>
    <w:p>
      <w:pPr>
        <w:keepNext/>
        <w:spacing w:after="40" w:before="80"/>
      </w:pPr>
      <w:r>
        <w:rPr>
          <w:b/>
          <w:i w:val="0"/>
          <w:color w:val="2E75B6"/>
          <w:sz w:val="21"/>
        </w:rPr>
        <w:t>He-Tank Dispute (MC #3056)</w:t>
      </w:r>
    </w:p>
    <w:p>
      <w:pPr>
        <w:spacing w:after="40" w:before="0"/>
        <w:ind w:left="288"/>
      </w:pPr>
      <w:r>
        <w:t xml:space="preserve">•  </w:t>
      </w:r>
      <w:r>
        <w:rPr>
          <w:b/>
        </w:rPr>
        <w:t xml:space="preserve">Risk: </w:t>
      </w:r>
      <w:r>
        <w:t>Rev3 GHe tank fails at 4,400 psi proof; Morey questions it as a flight article. Exos faces ~$175K to take to flight.</w:t>
      </w:r>
    </w:p>
    <w:p>
      <w:pPr>
        <w:spacing w:after="40" w:before="0"/>
        <w:ind w:left="288"/>
      </w:pPr>
      <w:r>
        <w:t xml:space="preserve">•  </w:t>
      </w:r>
      <w:r>
        <w:rPr>
          <w:b/>
        </w:rPr>
        <w:t xml:space="preserve">Mitigation: </w:t>
      </w:r>
      <w:r>
        <w:t>Plan B: qualified COPV ≤$250K (Jon cap), $0.3M gap. Resolves cleanly post-acquisition as intercompany — the legal dispute disappears. Decision D-7281994.</w:t>
      </w:r>
    </w:p>
    <w:p>
      <w:pPr>
        <w:keepNext/>
        <w:spacing w:after="40" w:before="80"/>
      </w:pPr>
      <w:r>
        <w:rPr>
          <w:b/>
          <w:i w:val="0"/>
          <w:color w:val="2E75B6"/>
          <w:sz w:val="21"/>
        </w:rPr>
        <w:t>SSLC Cash Risk</w:t>
      </w:r>
    </w:p>
    <w:p>
      <w:pPr>
        <w:spacing w:after="40" w:before="0"/>
        <w:ind w:left="288"/>
      </w:pPr>
      <w:r>
        <w:t xml:space="preserve">•  </w:t>
      </w:r>
      <w:r>
        <w:rPr>
          <w:b/>
        </w:rPr>
        <w:t xml:space="preserve">Risk: </w:t>
      </w:r>
      <w:r>
        <w:t>SSLC cash at QB date: $198K. Needs $0.3–0.7M to finish $984K in prepaid work. Risk of distress before close.</w:t>
      </w:r>
    </w:p>
    <w:p>
      <w:pPr>
        <w:spacing w:after="40" w:before="0"/>
        <w:ind w:left="288"/>
      </w:pPr>
      <w:r>
        <w:t xml:space="preserve">•  </w:t>
      </w:r>
      <w:r>
        <w:rPr>
          <w:b/>
        </w:rPr>
        <w:t xml:space="preserve">Mitigation: </w:t>
      </w:r>
      <w:r>
        <w:t>Option C (held): prepaid BLK3 tank PO $300–700K as bridge. [Counsel: insider lending.] OR close quickly before cash depletes.</w:t>
      </w:r>
    </w:p>
    <w:p>
      <w:pPr>
        <w:keepNext/>
        <w:spacing w:after="40" w:before="80"/>
      </w:pPr>
      <w:r>
        <w:rPr>
          <w:b/>
          <w:i w:val="0"/>
          <w:color w:val="2E75B6"/>
          <w:sz w:val="21"/>
        </w:rPr>
        <w:t>Related-Party / Governance</w:t>
      </w:r>
    </w:p>
    <w:p>
      <w:pPr>
        <w:spacing w:after="40" w:before="0"/>
        <w:ind w:left="288"/>
      </w:pPr>
      <w:r>
        <w:t xml:space="preserve">•  </w:t>
      </w:r>
      <w:r>
        <w:rPr>
          <w:b/>
        </w:rPr>
        <w:t xml:space="preserve">Jon Quinn: </w:t>
      </w:r>
      <w:r>
        <w:t>on both boards. Jon recuses from SSLC board vote; sends as Exos CEO only. Eqvista engaged for fairness opinion.</w:t>
      </w:r>
    </w:p>
    <w:p>
      <w:pPr>
        <w:spacing w:after="40" w:before="0"/>
        <w:ind w:left="288"/>
      </w:pPr>
      <w:r>
        <w:t xml:space="preserve">•  </w:t>
      </w:r>
      <w:r>
        <w:rPr>
          <w:b/>
        </w:rPr>
        <w:t xml:space="preserve">Disinterested directors: </w:t>
      </w:r>
      <w:r>
        <w:t>Markus Rufer and Bob approve on SSLC side; Jon abstains.</w:t>
      </w:r>
    </w:p>
    <w:p>
      <w:pPr>
        <w:spacing w:after="40" w:before="0"/>
        <w:ind w:left="288"/>
      </w:pPr>
      <w:r>
        <w:t xml:space="preserve">•  </w:t>
      </w:r>
      <w:r>
        <w:rPr>
          <w:b/>
        </w:rPr>
        <w:t xml:space="preserve">Counsel: </w:t>
      </w:r>
      <w:r>
        <w:t>[Keyes — review §3 still in force + not 'agreement to agree' before sending §3 notice.]</w:t>
      </w:r>
    </w:p>
    <w:p>
      <w:pPr>
        <w:keepNext/>
        <w:spacing w:after="40" w:before="80"/>
      </w:pPr>
      <w:r>
        <w:rPr>
          <w:b/>
          <w:i w:val="0"/>
          <w:color w:val="2E75B6"/>
          <w:sz w:val="21"/>
        </w:rPr>
        <w:t>Timing</w:t>
      </w:r>
    </w:p>
    <w:p>
      <w:pPr>
        <w:spacing w:after="40" w:before="0"/>
        <w:ind w:left="288"/>
      </w:pPr>
      <w:r>
        <w:t xml:space="preserve">•  </w:t>
      </w:r>
      <w:r>
        <w:rPr>
          <w:b/>
        </w:rPr>
        <w:t xml:space="preserve">Exclusivity window: </w:t>
      </w:r>
      <w:r>
        <w:t>90 days from ~Oct 8 = ~Jan 6, 2027. RTO close ~Mar 2027. Request extension proactively under the 'not unreasonably withhold' clause.</w:t>
      </w:r>
    </w:p>
    <w:p>
      <w:pPr>
        <w:spacing w:after="40" w:before="0"/>
        <w:ind w:left="288"/>
      </w:pPr>
      <w:r>
        <w:t xml:space="preserve">•  </w:t>
      </w:r>
      <w:r>
        <w:rPr>
          <w:b/>
        </w:rPr>
        <w:t xml:space="preserve">Jon in Japan: </w:t>
      </w:r>
      <w:r>
        <w:t>Oct 8 – Oct 29. Named Exos officer signs while away. Reply-by date to Jim/board to be confirmed.</w:t>
      </w:r>
    </w:p>
    <w:p>
      <w:pPr>
        <w:keepNext/>
        <w:spacing w:after="60" w:before="120"/>
      </w:pPr>
      <w:r>
        <w:rPr>
          <w:b/>
          <w:i w:val="0"/>
          <w:color w:val="1F3A68"/>
          <w:sz w:val="24"/>
        </w:rPr>
        <w:t>ASKS — Board Decision Points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2"/>
        <w:gridCol w:w="4031"/>
        <w:gridCol w:w="2015"/>
        <w:gridCol w:w="1728"/>
      </w:tblGrid>
      <w:tr>
        <w:tc>
          <w:tcPr>
            <w:tcW w:type="dxa" w:w="432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4032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Ask</w:t>
            </w:r>
          </w:p>
        </w:tc>
        <w:tc>
          <w:tcPr>
            <w:tcW w:type="dxa" w:w="2016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Owner</w:t>
            </w:r>
          </w:p>
        </w:tc>
        <w:tc>
          <w:tcPr>
            <w:tcW w:type="dxa" w:w="1728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Timing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4032"/>
          </w:tcPr>
          <w:p>
            <w:r/>
            <w:r>
              <w:rPr>
                <w:sz w:val="18"/>
              </w:rPr>
              <w:t>Go/No-Go: Option A, A+B (recommended), or A+B+C?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Jon (CEO)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Today 10/7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4032"/>
          </w:tcPr>
          <w:p>
            <w:r/>
            <w:r>
              <w:rPr>
                <w:sz w:val="18"/>
              </w:rPr>
              <w:t>Confirm earn-out variant: tank-only, stock-only, or combined?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Jon (CEO)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Today 10/7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4032"/>
          </w:tcPr>
          <w:p>
            <w:r/>
            <w:r>
              <w:rPr>
                <w:sz w:val="18"/>
              </w:rPr>
              <w:t>Confirm FNEX agreement is countersigned (D-7281974)?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Jon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Before send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4032"/>
          </w:tcPr>
          <w:p>
            <w:r/>
            <w:r>
              <w:rPr>
                <w:sz w:val="18"/>
              </w:rPr>
              <w:t>Obtain investor use-of-proceeds letter naming SSLC purchase?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Jon + FNEX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Before send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4032"/>
          </w:tcPr>
          <w:p>
            <w:r/>
            <w:r>
              <w:rPr>
                <w:sz w:val="18"/>
              </w:rPr>
              <w:t>Name Exos officer to sign while Jon is in Japan?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Jon (CEO)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Today 10/7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4032"/>
          </w:tcPr>
          <w:p>
            <w:r/>
            <w:r>
              <w:rPr>
                <w:sz w:val="18"/>
              </w:rPr>
              <w:t>Set reply-by date to Jim Wertz?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Jon (CEO)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Today 10/7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4032"/>
          </w:tcPr>
          <w:p>
            <w:r/>
            <w:r>
              <w:rPr>
                <w:sz w:val="18"/>
              </w:rPr>
              <w:t>Keyes (Counsel) review §3 + fairness opinion completion?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Counsel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Pre-send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4032"/>
          </w:tcPr>
          <w:p>
            <w:r/>
            <w:r>
              <w:rPr>
                <w:sz w:val="18"/>
              </w:rPr>
              <w:t>Verify SSLC liabilities in QB before signing?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Exo / Jon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Before sign</w:t>
            </w:r>
          </w:p>
        </w:tc>
      </w:tr>
    </w:tbl>
    <w:p>
      <w:pPr>
        <w:spacing w:after="80" w:before="0"/>
      </w:pPr>
    </w:p>
    <w:p>
      <w:pPr>
        <w:spacing w:after="40" w:before="0"/>
      </w:pPr>
      <w:r>
        <w:rPr>
          <w:b w:val="0"/>
          <w:i/>
          <w:color w:val="505050"/>
          <w:sz w:val="16"/>
        </w:rPr>
        <w:t>Model file: drafts/EXOS_SSLC_OptionB_Acquisition_Model_2026-10-07.xlsx — all formulas, recalculates on input changes.</w:t>
      </w:r>
    </w:p>
    <w:p>
      <w:pPr>
        <w:spacing w:after="40" w:before="0"/>
      </w:pPr>
      <w:r>
        <w:rPr>
          <w:b w:val="0"/>
          <w:i/>
          <w:color w:val="505050"/>
          <w:sz w:val="16"/>
        </w:rPr>
        <w:t>Draft message to Wertz/board: see SSLC_Exclusivity_Rescue_Options_and_Draft_Message_2026-10-07_DRAFT_v2.docx.</w:t>
      </w:r>
    </w:p>
    <w:p>
      <w:pPr>
        <w:spacing w:after="120" w:before="0"/>
      </w:pPr>
      <w:r>
        <w:rPr>
          <w:b w:val="0"/>
          <w:i/>
          <w:color w:val="505050"/>
          <w:sz w:val="16"/>
        </w:rPr>
        <w:t>Decision card for Jon's approval is on Mission Control under task #3544.</w:t>
      </w:r>
    </w:p>
    <w:sectPr w:rsidR="00D02269" w:rsidRPr="007C623E" w:rsidSect="006E0F85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2448" w:right="576" w:bottom="2160" w:left="1440" w:header="504" w:footer="504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5A9F3A" w14:textId="77777777" w:rsidR="00A928DF" w:rsidRDefault="00A928DF" w:rsidP="00A00680">
      <w:r>
        <w:separator/>
      </w:r>
    </w:p>
  </w:endnote>
  <w:endnote w:type="continuationSeparator" w:id="0">
    <w:p w14:paraId="7F79A9D2" w14:textId="77777777" w:rsidR="00A928DF" w:rsidRDefault="00A928DF" w:rsidP="00A006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677A47" w14:textId="77777777" w:rsidR="007D3D8F" w:rsidRDefault="007D3D8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6FC7E1" w14:textId="041F3336" w:rsidR="00153AFE" w:rsidRDefault="00153AFE" w:rsidP="00153AFE">
    <w:pPr>
      <w:pStyle w:val="Footer"/>
    </w:pPr>
  </w:p>
  <w:p w14:paraId="7E53FDB1" w14:textId="05BAE708" w:rsidR="00153AFE" w:rsidRPr="00AD1D32" w:rsidRDefault="00153AFE" w:rsidP="00153AFE">
    <w:pPr>
      <w:pStyle w:val="Footer"/>
    </w:pPr>
  </w:p>
  <w:p w14:paraId="5BED68FB" w14:textId="3BFC5E88" w:rsidR="00153AFE" w:rsidRDefault="005205E5" w:rsidP="005205E5">
    <w:pPr>
      <w:pStyle w:val="Footer"/>
      <w:jc w:val="center"/>
    </w:pPr>
    <w:r>
      <w:rPr>
        <w:noProof/>
      </w:rPr>
      <w:drawing>
        <wp:anchor distT="0" distB="0" distL="114300" distR="114300" simplePos="0" relativeHeight="251660288" behindDoc="1" locked="0" layoutInCell="1" allowOverlap="1" wp14:anchorId="77387259" wp14:editId="5BC35EEC">
          <wp:simplePos x="0" y="0"/>
          <wp:positionH relativeFrom="page">
            <wp:align>right</wp:align>
          </wp:positionH>
          <wp:positionV relativeFrom="paragraph">
            <wp:posOffset>63690</wp:posOffset>
          </wp:positionV>
          <wp:extent cx="3425190" cy="561150"/>
          <wp:effectExtent l="0" t="0" r="0" b="0"/>
          <wp:wrapNone/>
          <wp:docPr id="1274565867" name="Picture 1274565867" descr="A picture containing ligh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exosletterhead_footer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425190" cy="5611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6FC7E1" w14:textId="041F3336" w:rsidR="00153AFE" w:rsidRDefault="00153AFE" w:rsidP="00153AFE">
    <w:pPr>
      <w:pStyle w:val="Footer"/>
    </w:pPr>
  </w:p>
  <w:p w14:paraId="7E53FDB1" w14:textId="05BAE708" w:rsidR="00153AFE" w:rsidRPr="00AD1D32" w:rsidRDefault="00153AFE" w:rsidP="00153AFE">
    <w:pPr>
      <w:pStyle w:val="Footer"/>
    </w:pPr>
  </w:p>
  <w:p w14:paraId="5BED68FB" w14:textId="3BFC5E88" w:rsidR="00153AFE" w:rsidRDefault="005205E5" w:rsidP="005205E5">
    <w:pPr>
      <w:pStyle w:val="Footer"/>
      <w:jc w:val="center"/>
    </w:pPr>
    <w:r>
      <w:rPr>
        <w:noProof/>
      </w:rPr>
      <w:drawing>
        <wp:anchor distT="0" distB="0" distL="114300" distR="114300" simplePos="0" relativeHeight="251660288" behindDoc="1" locked="0" layoutInCell="1" allowOverlap="1" wp14:anchorId="77387259" wp14:editId="5BC35EEC">
          <wp:simplePos x="0" y="0"/>
          <wp:positionH relativeFrom="page">
            <wp:align>right</wp:align>
          </wp:positionH>
          <wp:positionV relativeFrom="paragraph">
            <wp:posOffset>63690</wp:posOffset>
          </wp:positionV>
          <wp:extent cx="3425190" cy="561150"/>
          <wp:effectExtent l="0" t="0" r="0" b="0"/>
          <wp:wrapNone/>
          <wp:docPr id="1274565867" name="Picture 1274565867" descr="A picture containing ligh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exosletterhead_footer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425190" cy="5611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55324B" w14:textId="77777777" w:rsidR="00A928DF" w:rsidRDefault="00A928DF" w:rsidP="00A00680">
      <w:r>
        <w:separator/>
      </w:r>
    </w:p>
  </w:footnote>
  <w:footnote w:type="continuationSeparator" w:id="0">
    <w:p w14:paraId="2BD1F19D" w14:textId="77777777" w:rsidR="00A928DF" w:rsidRDefault="00A928DF" w:rsidP="00A0068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D16660" w14:textId="77777777" w:rsidR="007D3D8F" w:rsidRDefault="007D3D8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10C9F5" w14:textId="096499BE" w:rsidR="00147251" w:rsidRPr="000E6BAA" w:rsidRDefault="00147251" w:rsidP="00147251">
    <w:pPr>
      <w:pStyle w:val="Header"/>
      <w:tabs>
        <w:tab w:val="left" w:pos="2874"/>
        <w:tab w:val="right" w:pos="4680"/>
        <w:tab w:val="right" w:pos="10224"/>
      </w:tabs>
      <w:rPr>
        <w:rFonts w:ascii="Tahoma" w:hAnsi="Tahoma" w:cs="Tahoma"/>
        <w:color w:val="808080" w:themeColor="background1" w:themeShade="80"/>
      </w:rPr>
    </w:pPr>
    <w:r w:rsidRPr="000E6BAA">
      <w:rPr>
        <w:rFonts w:ascii="Tahoma" w:hAnsi="Tahoma" w:cs="Tahoma"/>
        <w:noProof/>
        <w:color w:val="808080" w:themeColor="background1" w:themeShade="80"/>
      </w:rPr>
      <w:drawing>
        <wp:anchor distT="0" distB="0" distL="114300" distR="114300" simplePos="0" relativeHeight="251658240" behindDoc="1" locked="0" layoutInCell="1" allowOverlap="1" wp14:anchorId="24C38B4E" wp14:editId="74402038">
          <wp:simplePos x="0" y="0"/>
          <wp:positionH relativeFrom="column">
            <wp:posOffset>-902970</wp:posOffset>
          </wp:positionH>
          <wp:positionV relativeFrom="paragraph">
            <wp:posOffset>-468629</wp:posOffset>
          </wp:positionV>
          <wp:extent cx="2880360" cy="594844"/>
          <wp:effectExtent l="0" t="0" r="0" b="0"/>
          <wp:wrapNone/>
          <wp:docPr id="624236723" name="Picture 624236723" descr="A picture containing sitting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exosletterhead_header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96129" cy="59810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E645B">
      <w:rPr>
        <w:rFonts w:ascii="Tahoma" w:hAnsi="Tahoma" w:cs="Tahoma"/>
        <w:color w:val="808080" w:themeColor="background1" w:themeShade="80"/>
      </w:rPr>
      <w:tab/>
    </w:r>
    <w:r w:rsidR="000E645B">
      <w:rPr>
        <w:rFonts w:ascii="Tahoma" w:hAnsi="Tahoma" w:cs="Tahoma"/>
        <w:color w:val="808080" w:themeColor="background1" w:themeShade="80"/>
      </w:rPr>
      <w:tab/>
    </w:r>
    <w:r w:rsidR="000E645B">
      <w:rPr>
        <w:rFonts w:ascii="Tahoma" w:hAnsi="Tahoma" w:cs="Tahoma"/>
        <w:color w:val="808080" w:themeColor="background1" w:themeShade="80"/>
      </w:rPr>
      <w:tab/>
    </w:r>
  </w:p>
  <w:p w14:paraId="77BB0A6B" w14:textId="1AFFC7D2" w:rsidR="000E6BAA" w:rsidRPr="000E6BAA" w:rsidRDefault="000E6BAA" w:rsidP="00BD08F1">
    <w:pPr>
      <w:pStyle w:val="Header"/>
      <w:jc w:val="center"/>
      <w:rPr>
        <w:rFonts w:ascii="Tahoma" w:hAnsi="Tahoma" w:cs="Tahoma"/>
        <w:color w:val="808080" w:themeColor="background1" w:themeShade="8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10C9F5" w14:textId="096499BE" w:rsidR="00147251" w:rsidRPr="000E6BAA" w:rsidRDefault="00147251" w:rsidP="00147251">
    <w:pPr>
      <w:pStyle w:val="Header"/>
      <w:tabs>
        <w:tab w:val="left" w:pos="2874"/>
        <w:tab w:val="right" w:pos="4680"/>
        <w:tab w:val="right" w:pos="10224"/>
      </w:tabs>
      <w:rPr>
        <w:rFonts w:ascii="Tahoma" w:hAnsi="Tahoma" w:cs="Tahoma"/>
        <w:color w:val="808080" w:themeColor="background1" w:themeShade="80"/>
      </w:rPr>
    </w:pPr>
    <w:r w:rsidRPr="000E6BAA">
      <w:rPr>
        <w:rFonts w:ascii="Tahoma" w:hAnsi="Tahoma" w:cs="Tahoma"/>
        <w:noProof/>
        <w:color w:val="808080" w:themeColor="background1" w:themeShade="80"/>
      </w:rPr>
      <w:drawing>
        <wp:anchor distT="0" distB="0" distL="114300" distR="114300" simplePos="0" relativeHeight="251658240" behindDoc="1" locked="0" layoutInCell="1" allowOverlap="1" wp14:anchorId="24C38B4E" wp14:editId="74402038">
          <wp:simplePos x="0" y="0"/>
          <wp:positionH relativeFrom="column">
            <wp:posOffset>-902970</wp:posOffset>
          </wp:positionH>
          <wp:positionV relativeFrom="paragraph">
            <wp:posOffset>-468629</wp:posOffset>
          </wp:positionV>
          <wp:extent cx="2880360" cy="594844"/>
          <wp:effectExtent l="0" t="0" r="0" b="0"/>
          <wp:wrapNone/>
          <wp:docPr id="624236723" name="Picture 624236723" descr="A picture containing sitting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exosletterhead_header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96129" cy="59810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E645B">
      <w:rPr>
        <w:rFonts w:ascii="Tahoma" w:hAnsi="Tahoma" w:cs="Tahoma"/>
        <w:color w:val="808080" w:themeColor="background1" w:themeShade="80"/>
      </w:rPr>
      <w:tab/>
    </w:r>
    <w:r w:rsidR="000E645B">
      <w:rPr>
        <w:rFonts w:ascii="Tahoma" w:hAnsi="Tahoma" w:cs="Tahoma"/>
        <w:color w:val="808080" w:themeColor="background1" w:themeShade="80"/>
      </w:rPr>
      <w:tab/>
    </w:r>
    <w:r w:rsidR="000E645B">
      <w:rPr>
        <w:rFonts w:ascii="Tahoma" w:hAnsi="Tahoma" w:cs="Tahoma"/>
        <w:color w:val="808080" w:themeColor="background1" w:themeShade="80"/>
      </w:rPr>
      <w:tab/>
    </w:r>
  </w:p>
  <w:p w14:paraId="77BB0A6B" w14:textId="1AFFC7D2" w:rsidR="000E6BAA" w:rsidRPr="000E6BAA" w:rsidRDefault="000E6BAA" w:rsidP="00BD08F1">
    <w:pPr>
      <w:pStyle w:val="Header"/>
      <w:jc w:val="center"/>
      <w:rPr>
        <w:rFonts w:ascii="Tahoma" w:hAnsi="Tahoma" w:cs="Tahoma"/>
        <w:color w:val="808080" w:themeColor="background1" w:themeShade="8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D23731"/>
    <w:multiLevelType w:val="multilevel"/>
    <w:tmpl w:val="2A1A6F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DA16D92"/>
    <w:multiLevelType w:val="multilevel"/>
    <w:tmpl w:val="B816DB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28E4D6A"/>
    <w:multiLevelType w:val="multilevel"/>
    <w:tmpl w:val="3E801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74803D6"/>
    <w:multiLevelType w:val="hybridMultilevel"/>
    <w:tmpl w:val="B3DECB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AE823CD"/>
    <w:multiLevelType w:val="multilevel"/>
    <w:tmpl w:val="51744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D830758"/>
    <w:multiLevelType w:val="multilevel"/>
    <w:tmpl w:val="B36A8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05A6222"/>
    <w:multiLevelType w:val="multilevel"/>
    <w:tmpl w:val="086C5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3D15241"/>
    <w:multiLevelType w:val="multilevel"/>
    <w:tmpl w:val="B8C83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99E40D4"/>
    <w:multiLevelType w:val="multilevel"/>
    <w:tmpl w:val="9280E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1566CEB"/>
    <w:multiLevelType w:val="multilevel"/>
    <w:tmpl w:val="7E2A7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FA732D0"/>
    <w:multiLevelType w:val="multilevel"/>
    <w:tmpl w:val="2D405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04A1CBE"/>
    <w:multiLevelType w:val="multilevel"/>
    <w:tmpl w:val="97647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DEA4EB0"/>
    <w:multiLevelType w:val="multilevel"/>
    <w:tmpl w:val="DB7E2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18644693">
    <w:abstractNumId w:val="3"/>
  </w:num>
  <w:num w:numId="2" w16cid:durableId="1353528203">
    <w:abstractNumId w:val="1"/>
  </w:num>
  <w:num w:numId="3" w16cid:durableId="1015813018">
    <w:abstractNumId w:val="7"/>
  </w:num>
  <w:num w:numId="4" w16cid:durableId="2015566524">
    <w:abstractNumId w:val="4"/>
  </w:num>
  <w:num w:numId="5" w16cid:durableId="870142476">
    <w:abstractNumId w:val="8"/>
  </w:num>
  <w:num w:numId="6" w16cid:durableId="692537600">
    <w:abstractNumId w:val="9"/>
  </w:num>
  <w:num w:numId="7" w16cid:durableId="22829662">
    <w:abstractNumId w:val="6"/>
  </w:num>
  <w:num w:numId="8" w16cid:durableId="1236429732">
    <w:abstractNumId w:val="0"/>
  </w:num>
  <w:num w:numId="9" w16cid:durableId="813722674">
    <w:abstractNumId w:val="5"/>
  </w:num>
  <w:num w:numId="10" w16cid:durableId="1891838380">
    <w:abstractNumId w:val="12"/>
  </w:num>
  <w:num w:numId="11" w16cid:durableId="1136295167">
    <w:abstractNumId w:val="11"/>
  </w:num>
  <w:num w:numId="12" w16cid:durableId="111945368">
    <w:abstractNumId w:val="2"/>
  </w:num>
  <w:num w:numId="13" w16cid:durableId="37528231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28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zO3NDUzNDQ0tzQzMjNV0lEKTi0uzszPAykwrAUA/DiwziwAAAA="/>
  </w:docVars>
  <w:rsids>
    <w:rsidRoot w:val="00347922"/>
    <w:rsid w:val="000D2A14"/>
    <w:rsid w:val="000D3330"/>
    <w:rsid w:val="000E645B"/>
    <w:rsid w:val="000E6BAA"/>
    <w:rsid w:val="001316D3"/>
    <w:rsid w:val="00147251"/>
    <w:rsid w:val="00153AFE"/>
    <w:rsid w:val="00166FF3"/>
    <w:rsid w:val="001C45E9"/>
    <w:rsid w:val="001C5A7E"/>
    <w:rsid w:val="001F4FE4"/>
    <w:rsid w:val="001F5095"/>
    <w:rsid w:val="00255B59"/>
    <w:rsid w:val="00265C2B"/>
    <w:rsid w:val="0029014E"/>
    <w:rsid w:val="002A2DC3"/>
    <w:rsid w:val="002A5D3B"/>
    <w:rsid w:val="00317CDE"/>
    <w:rsid w:val="00347922"/>
    <w:rsid w:val="0035562B"/>
    <w:rsid w:val="003834E3"/>
    <w:rsid w:val="00432689"/>
    <w:rsid w:val="00453A15"/>
    <w:rsid w:val="0045462F"/>
    <w:rsid w:val="00454EA1"/>
    <w:rsid w:val="00460E09"/>
    <w:rsid w:val="004B0C4B"/>
    <w:rsid w:val="005205E5"/>
    <w:rsid w:val="005C3232"/>
    <w:rsid w:val="005C77DB"/>
    <w:rsid w:val="00633CFF"/>
    <w:rsid w:val="00680BDE"/>
    <w:rsid w:val="006E0F85"/>
    <w:rsid w:val="00714763"/>
    <w:rsid w:val="007C623E"/>
    <w:rsid w:val="007D3D8F"/>
    <w:rsid w:val="008519E3"/>
    <w:rsid w:val="008D5214"/>
    <w:rsid w:val="008E1AFE"/>
    <w:rsid w:val="00905EFA"/>
    <w:rsid w:val="00961AC9"/>
    <w:rsid w:val="0098334F"/>
    <w:rsid w:val="00987FDA"/>
    <w:rsid w:val="009A7969"/>
    <w:rsid w:val="00A00680"/>
    <w:rsid w:val="00A21352"/>
    <w:rsid w:val="00A4282A"/>
    <w:rsid w:val="00A474CA"/>
    <w:rsid w:val="00A928DF"/>
    <w:rsid w:val="00AC6C96"/>
    <w:rsid w:val="00AF12DB"/>
    <w:rsid w:val="00B779D5"/>
    <w:rsid w:val="00B9321D"/>
    <w:rsid w:val="00BD08F1"/>
    <w:rsid w:val="00C321D3"/>
    <w:rsid w:val="00C8460F"/>
    <w:rsid w:val="00CD2C93"/>
    <w:rsid w:val="00D02269"/>
    <w:rsid w:val="00D82768"/>
    <w:rsid w:val="00DA7C10"/>
    <w:rsid w:val="00ED4B89"/>
    <w:rsid w:val="00EF2670"/>
    <w:rsid w:val="00F04389"/>
    <w:rsid w:val="00F17714"/>
    <w:rsid w:val="00F86327"/>
    <w:rsid w:val="00FE00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D176D9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Calibri" w:hAnsi="Calibri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00680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00680"/>
  </w:style>
  <w:style w:type="paragraph" w:styleId="Footer">
    <w:name w:val="footer"/>
    <w:basedOn w:val="Normal"/>
    <w:link w:val="FooterChar"/>
    <w:uiPriority w:val="99"/>
    <w:unhideWhenUsed/>
    <w:rsid w:val="00A0068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00680"/>
  </w:style>
  <w:style w:type="paragraph" w:styleId="ListParagraph">
    <w:name w:val="List Paragraph"/>
    <w:basedOn w:val="Normal"/>
    <w:uiPriority w:val="34"/>
    <w:qFormat/>
    <w:rsid w:val="001F4FE4"/>
    <w:pPr>
      <w:spacing w:after="160" w:line="259" w:lineRule="auto"/>
      <w:ind w:left="720"/>
      <w:contextualSpacing/>
    </w:pPr>
    <w:rPr>
      <w:kern w:val="2"/>
      <w:sz w:val="22"/>
      <w:szCs w:val="22"/>
      <w14:ligatures w14:val="standardContextual"/>
    </w:rPr>
  </w:style>
  <w:style w:type="character" w:customStyle="1" w:styleId="text-token-text-secondary">
    <w:name w:val="text-token-text-secondary"/>
    <w:basedOn w:val="DefaultParagraphFont"/>
    <w:rsid w:val="001F4FE4"/>
  </w:style>
  <w:style w:type="character" w:styleId="Hyperlink">
    <w:name w:val="Hyperlink"/>
    <w:basedOn w:val="DefaultParagraphFont"/>
    <w:uiPriority w:val="99"/>
    <w:unhideWhenUsed/>
    <w:rsid w:val="001F4FE4"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rsid w:val="001F4FE4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Strong">
    <w:name w:val="Strong"/>
    <w:basedOn w:val="DefaultParagraphFont"/>
    <w:uiPriority w:val="22"/>
    <w:qFormat/>
    <w:rsid w:val="001F4FE4"/>
    <w:rPr>
      <w:b/>
      <w:bCs/>
    </w:rPr>
  </w:style>
  <w:style w:type="character" w:styleId="UnresolvedMention">
    <w:name w:val="Unresolved Mention"/>
    <w:basedOn w:val="DefaultParagraphFont"/>
    <w:uiPriority w:val="99"/>
    <w:rsid w:val="00BD08F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87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1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82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89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footer3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93BA222B086F94CB80A831AC79560FC" ma:contentTypeVersion="3" ma:contentTypeDescription="Create a new document." ma:contentTypeScope="" ma:versionID="263de4db15e980f31c7a9f0e35eb1966">
  <xsd:schema xmlns:xsd="http://www.w3.org/2001/XMLSchema" xmlns:xs="http://www.w3.org/2001/XMLSchema" xmlns:p="http://schemas.microsoft.com/office/2006/metadata/properties" xmlns:ns2="e1558a10-1879-455f-b4fa-cfdedf85505e" targetNamespace="http://schemas.microsoft.com/office/2006/metadata/properties" ma:root="true" ma:fieldsID="a929d5d4558f9b725dc8e1c5ef0a4e28" ns2:_="">
    <xsd:import namespace="e1558a10-1879-455f-b4fa-cfdedf85505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1558a10-1879-455f-b4fa-cfdedf85505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0716354C-C618-42C0-890C-B79BDC3B5D7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1558a10-1879-455f-b4fa-cfdedf85505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FE5F3B5-F71C-B54D-921B-25B8BE513B25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05C96887-8CC6-4F7F-BF09-CD8A4A0BF18C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FB38FABD-2EB8-4C41-9791-D9CBE1419BD7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Huber</dc:creator>
  <cp:keywords/>
  <dc:description/>
  <cp:lastModifiedBy>John Quinn</cp:lastModifiedBy>
  <cp:revision>26</cp:revision>
  <dcterms:created xsi:type="dcterms:W3CDTF">2025-08-23T21:06:00Z</dcterms:created>
  <dcterms:modified xsi:type="dcterms:W3CDTF">2026-05-22T01:37:00Z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0x010100B93BA222B086F94CB80A831AC79560FC</vt:lpwstr>
  </property>
</Properties>
</file>