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SALES COMMISSION AGREEMENT</w:t>
      </w:r>
    </w:p>
    <w:p>
      <w:pPr>
        <w:spacing w:after="200"/>
        <w:jc w:val="center"/>
      </w:pPr>
      <w:r>
        <w:rPr>
          <w:b w:val="0"/>
          <w:sz w:val="19"/>
        </w:rPr>
        <w:t>Scorpius Space Launch Company → Exos Aerospace Systems &amp; Technologies, Inc. · 15% Sales Commission with Price Parity</w:t>
      </w:r>
    </w:p>
    <w:p>
      <w:pPr>
        <w:spacing w:after="120"/>
      </w:pPr>
      <w:r>
        <w:rPr>
          <w:b w:val="0"/>
        </w:rPr>
        <w:t xml:space="preserve">This Sales Commission Agreement (this "Agreement") is entered into as of October </w:t>
      </w:r>
      <w:r>
        <w:rPr>
          <w:b w:val="0"/>
          <w:highlight w:val="yellow"/>
        </w:rPr>
        <w:t>[__]</w:t>
      </w:r>
      <w:r>
        <w:rPr>
          <w:b w:val="0"/>
        </w:rPr>
        <w:t>, 2026 (the "Effective Date") by and between Scorpius Space Launch Company, a California corporation ("SSLC"), and Exos Aerospace Systems &amp; Technologies, Inc., a Texas corporation, 299 FM 1903, Greenville, TX 75402 ("Exos").</w:t>
      </w:r>
    </w:p>
    <w:p>
      <w:pPr>
        <w:spacing w:after="60"/>
      </w:pPr>
      <w:r>
        <w:rPr>
          <w:b/>
        </w:rPr>
        <w:t>Background</w:t>
      </w:r>
    </w:p>
    <w:p>
      <w:pPr>
        <w:spacing w:after="120"/>
      </w:pPr>
      <w:r>
        <w:rPr>
          <w:b w:val="0"/>
        </w:rPr>
        <w:t>A.  At its meeting of April 10, 2025, with all five directors present, the SSLC Board of Directors accepted an offer that Exos help find new business for SSLC in exchange for a fifteen percent (15%) commission payable after SSLC receives the customer's funds, with repeat customers at five percent (5%), and that SSLC provide Exos a list of current contacts to avoid duplication or double payment (the "Original Approval"). Markus Rufer moved and Robert Conger seconded, and approval was unanimous, as recorded in the minutes signed by Alice Wertz, Secretary. The parties have operated under the Original Approval since that time, but it has not been written down.</w:t>
      </w:r>
    </w:p>
    <w:p>
      <w:pPr>
        <w:spacing w:after="120"/>
      </w:pPr>
      <w:r>
        <w:rPr>
          <w:b w:val="0"/>
        </w:rPr>
        <w:t>B.  The parties now wish to memorialize the Original Approval in a written agreement, to add price parity, and to extend the commission to SSLC sales of tank hardware to Exos, with the approval described in Section 11.</w:t>
      </w:r>
    </w:p>
    <w:p>
      <w:pPr>
        <w:spacing w:after="120"/>
      </w:pPr>
      <w:r>
        <w:rPr>
          <w:b w:val="0"/>
        </w:rPr>
        <w:t>C.  Exos holds approximately eighteen percent (18%) of SSLC's outstanding equity, and John Quinn serves as a director of SSLC and as an officer and director of Exos. This Agreement is therefore a related-party transaction and has been approved as described in Section 11.</w:t>
      </w:r>
    </w:p>
    <w:p>
      <w:pPr>
        <w:spacing w:after="60"/>
      </w:pPr>
      <w:r>
        <w:rPr>
          <w:b/>
        </w:rPr>
        <w:t>1.  Definitions</w:t>
      </w:r>
    </w:p>
    <w:p>
      <w:pPr>
        <w:spacing w:after="120"/>
      </w:pPr>
      <w:r>
        <w:rPr>
          <w:b w:val="0"/>
        </w:rPr>
        <w:t>"Tank Hardware" means composite pressure vessels, cryogenic and propellant tanks (including Type-V linerless tanks), COPVs, tank assemblies, and related tank components and spares made or sold by SSLC</w:t>
      </w:r>
      <w:r>
        <w:rPr>
          <w:b w:val="0"/>
          <w:highlight w:val="yellow"/>
        </w:rPr>
        <w:t>[, together with non-recurring engineering, qualification, and test services sold as part of a Tank Hardware order]</w:t>
      </w:r>
      <w:r>
        <w:rPr>
          <w:b w:val="0"/>
        </w:rPr>
        <w:t>.</w:t>
      </w:r>
    </w:p>
    <w:p>
      <w:pPr>
        <w:spacing w:after="120"/>
      </w:pPr>
      <w:r>
        <w:rPr>
          <w:b w:val="0"/>
        </w:rPr>
        <w:t>"Net Sales Price" means the gross amount SSLC invoices for Tank Hardware, less only sales and use taxes, separately stated freight and insurance, and credits actually issued for returns.</w:t>
      </w:r>
    </w:p>
    <w:p>
      <w:pPr>
        <w:spacing w:after="120"/>
      </w:pPr>
      <w:r>
        <w:rPr>
          <w:b w:val="0"/>
        </w:rPr>
        <w:t>"Registered Customer" means a customer Exos registers under Section 3. "Exos-Sourced Sale" means any SSLC sale of Tank Hardware to a Registered Customer. "Exos Purchase" means any SSLC sale of Tank Hardware to Exos or any Exos affiliate, however it originates. Exos-Sourced Sales and Exos Purchases together are "Covered Sales."</w:t>
      </w:r>
    </w:p>
    <w:p>
      <w:pPr>
        <w:spacing w:after="60"/>
      </w:pPr>
      <w:r>
        <w:rPr>
          <w:b/>
        </w:rPr>
        <w:t>2.  Appointment</w:t>
      </w:r>
    </w:p>
    <w:p>
      <w:pPr>
        <w:spacing w:after="120"/>
      </w:pPr>
      <w:r>
        <w:rPr>
          <w:b w:val="0"/>
        </w:rPr>
        <w:t xml:space="preserve">SSLC appoints Exos as its </w:t>
      </w:r>
      <w:r>
        <w:rPr>
          <w:b w:val="0"/>
          <w:highlight w:val="yellow"/>
        </w:rPr>
        <w:t>[non-exclusive]</w:t>
      </w:r>
      <w:r>
        <w:rPr>
          <w:b w:val="0"/>
        </w:rPr>
        <w:t xml:space="preserve"> worldwide sales representative for Tank Hardware. Exos may market, quote, and solicit orders for Tank Hardware but has no authority to bind SSLC. SSLC sets its terms of sale, accepts orders at its reasonable discretion, and remains solely responsible for design, manufacture, delivery, quality, and warranty of the Tank Hardware it sells.</w:t>
      </w:r>
    </w:p>
    <w:p>
      <w:pPr>
        <w:spacing w:after="60"/>
      </w:pPr>
      <w:r>
        <w:rPr>
          <w:b/>
        </w:rPr>
        <w:t>3.  Customer registration</w:t>
      </w:r>
    </w:p>
    <w:p>
      <w:pPr>
        <w:spacing w:after="120"/>
      </w:pPr>
      <w:r>
        <w:rPr>
          <w:b w:val="0"/>
        </w:rPr>
        <w:t>Exos registers a customer by written notice (email is sufficient) to SSLC naming the customer and the opportunity. The customer is registered unless SSLC objects in writing within ten (10) business days and shows that, in the twelve (12) months before the notice, SSLC itself issued a written quote to that customer for the same opportunity. A registration stays in effect for the term of this Agreement plus the tail period in Section 7.</w:t>
      </w:r>
    </w:p>
    <w:p>
      <w:pPr>
        <w:spacing w:after="60"/>
      </w:pPr>
      <w:r>
        <w:rPr>
          <w:b/>
        </w:rPr>
        <w:t>4.  Commission</w:t>
      </w:r>
    </w:p>
    <w:p>
      <w:pPr>
        <w:spacing w:after="120"/>
      </w:pPr>
      <w:r>
        <w:rPr>
          <w:b w:val="0"/>
        </w:rPr>
        <w:t>SSLC will pay Exos a commission equal to fifteen percent (15%) of the Net Sales Price of every Covered Sale. The commission is earned on every Exos Purchase, whatever its origin, and on every Exos-Sourced Sale, whether the customer orders through Exos or directly from SSLC. For a Covered Sale to a Repeat Customer, the commission is five percent (5%) instead. A "Repeat Customer" is a customer on the current-contacts list SSLC provides under the Original Approval, other than Exos itself.</w:t>
      </w:r>
    </w:p>
    <w:p>
      <w:pPr>
        <w:spacing w:after="60"/>
      </w:pPr>
      <w:r>
        <w:rPr>
          <w:b/>
        </w:rPr>
        <w:t>5.  Price parity</w:t>
      </w:r>
    </w:p>
    <w:p>
      <w:pPr>
        <w:spacing w:after="120"/>
      </w:pPr>
      <w:r>
        <w:rPr>
          <w:b w:val="0"/>
        </w:rPr>
        <w:t>(a)  Same price. The price SSLC charges for an Exos-Sourced Sale will be identical to the price SSLC quotes, or would quote, the same customer directly for the same Tank Hardware, quantity, and terms. Exos will quote customers at SSLC's price, with no markup. Exos is compensated only by the commission. SSLC will promptly give Exos its current pricing and any written quote it issues.</w:t>
      </w:r>
    </w:p>
    <w:p>
      <w:pPr>
        <w:spacing w:after="120"/>
      </w:pPr>
      <w:r>
        <w:rPr>
          <w:b w:val="0"/>
        </w:rPr>
        <w:t>(b)  No circumvention. SSLC will not offer a Registered Customer, directly or through others, a lower price or better terms in order to avoid the commission. The commission is still due if a Registered Customer buys directly from SSLC.</w:t>
      </w:r>
    </w:p>
    <w:p>
      <w:pPr>
        <w:spacing w:after="120"/>
      </w:pPr>
      <w:r>
        <w:rPr>
          <w:b w:val="0"/>
        </w:rPr>
        <w:t>(c)  Sales to Exos. SSLC will price every Exos Purchase at the same price SSLC quotes its direct customers for comparable Tank Hardware, quantities, and terms. Exos will pay no premium. The commission under Section 4 applies to each Exos Purchase on top of that price parity.</w:t>
      </w:r>
    </w:p>
    <w:p>
      <w:pPr>
        <w:spacing w:after="60"/>
      </w:pPr>
      <w:r>
        <w:rPr>
          <w:b/>
        </w:rPr>
        <w:t>6.  Payment and records</w:t>
      </w:r>
    </w:p>
    <w:p>
      <w:pPr>
        <w:spacing w:after="120"/>
      </w:pPr>
      <w:r>
        <w:rPr>
          <w:b w:val="0"/>
        </w:rPr>
        <w:t>(a)  Exos-Sourced Sales. SSLC will pay the commission within thirty (30) days after SSLC receives each customer payment. Where the customer pays in milestones or deposits, the commission is paid pro rata on each payment received.</w:t>
      </w:r>
    </w:p>
    <w:p>
      <w:pPr>
        <w:spacing w:after="120"/>
      </w:pPr>
      <w:r>
        <w:rPr>
          <w:b w:val="0"/>
        </w:rPr>
        <w:t>(b)  Exos Purchases. At Exos's election, Exos may deduct the commission from the amount it pays on each SSLC invoice, or SSLC will pay it within thirty (30) days after SSLC receives Exos's payment.</w:t>
      </w:r>
    </w:p>
    <w:p>
      <w:pPr>
        <w:spacing w:after="120"/>
      </w:pPr>
      <w:r>
        <w:rPr>
          <w:b w:val="0"/>
        </w:rPr>
        <w:t xml:space="preserve">(c)  Statements and audit. With each payment SSLC will provide a statement of the Covered Sales, amounts invoiced and received, and commission due. Exos may audit SSLC's relevant records once a year on reasonable notice. SSLC will promptly pay any underpayment and, if the underpayment exceeds five percent (5%) for the audited period, will also bear the cost of the audit. Overdue amounts bear interest at </w:t>
      </w:r>
      <w:r>
        <w:rPr>
          <w:b w:val="0"/>
          <w:highlight w:val="yellow"/>
        </w:rPr>
        <w:t>[1.0% per month]</w:t>
      </w:r>
      <w:r>
        <w:rPr>
          <w:b w:val="0"/>
        </w:rPr>
        <w:t xml:space="preserve"> or the highest lawful rate, if lower.</w:t>
      </w:r>
    </w:p>
    <w:p>
      <w:pPr>
        <w:spacing w:after="60"/>
      </w:pPr>
      <w:r>
        <w:rPr>
          <w:b/>
        </w:rPr>
        <w:t>7.  Term, termination, and tail</w:t>
      </w:r>
    </w:p>
    <w:p>
      <w:pPr>
        <w:spacing w:after="120"/>
      </w:pPr>
      <w:r>
        <w:rPr>
          <w:b w:val="0"/>
        </w:rPr>
        <w:t xml:space="preserve">This Agreement runs for </w:t>
      </w:r>
      <w:r>
        <w:rPr>
          <w:b w:val="0"/>
          <w:highlight w:val="yellow"/>
        </w:rPr>
        <w:t>[three (3)]</w:t>
      </w:r>
      <w:r>
        <w:rPr>
          <w:b w:val="0"/>
        </w:rPr>
        <w:t xml:space="preserve"> years from the Effective Date and then renews automatically for successive one-year terms. Either party may terminate (a) for convenience on </w:t>
      </w:r>
      <w:r>
        <w:rPr>
          <w:b w:val="0"/>
          <w:highlight w:val="yellow"/>
        </w:rPr>
        <w:t>[one hundred eighty (180)]</w:t>
      </w:r>
      <w:r>
        <w:rPr>
          <w:b w:val="0"/>
        </w:rPr>
        <w:t xml:space="preserve"> days' written notice, given no earlier than </w:t>
      </w:r>
      <w:r>
        <w:rPr>
          <w:b w:val="0"/>
          <w:highlight w:val="yellow"/>
        </w:rPr>
        <w:t>[twelve (12)]</w:t>
      </w:r>
      <w:r>
        <w:rPr>
          <w:b w:val="0"/>
        </w:rPr>
        <w:t xml:space="preserve"> months after the Effective Date, or (b) for material breach not cured within thirty (30) days after written notice. After expiration or termination, SSLC will continue to pay the commission on (i) all Covered Sales ordered before the end date, and (ii) all orders from Registered Customers placed within twelve (12) months after the end date.</w:t>
      </w:r>
    </w:p>
    <w:p>
      <w:pPr>
        <w:spacing w:after="60"/>
      </w:pPr>
      <w:r>
        <w:rPr>
          <w:b/>
        </w:rPr>
        <w:t>8.  Prior sales under the Original Approval</w:t>
      </w:r>
    </w:p>
    <w:p>
      <w:pPr>
        <w:spacing w:after="120"/>
      </w:pPr>
      <w:r>
        <w:rPr>
          <w:b w:val="0"/>
        </w:rPr>
        <w:t xml:space="preserve">This Agreement memorializes and ratifies the Original Approval. Commissions on Covered Sales invoiced on or after the date of the Original Approval and not previously paid or credited </w:t>
      </w:r>
      <w:r>
        <w:rPr>
          <w:b w:val="0"/>
          <w:highlight w:val="yellow"/>
        </w:rPr>
        <w:t>[will be reconciled and paid or credited within sixty (60) days after the Effective Date / are waived]</w:t>
      </w:r>
      <w:r>
        <w:rPr>
          <w:b w:val="0"/>
        </w:rPr>
        <w:t>.</w:t>
      </w:r>
    </w:p>
    <w:p>
      <w:pPr>
        <w:spacing w:after="60"/>
      </w:pPr>
      <w:r>
        <w:rPr>
          <w:b/>
        </w:rPr>
        <w:t>9.  Compliance</w:t>
      </w:r>
    </w:p>
    <w:p>
      <w:pPr>
        <w:spacing w:after="120"/>
      </w:pPr>
      <w:r>
        <w:rPr>
          <w:b w:val="0"/>
        </w:rPr>
        <w:t xml:space="preserve">Each party will comply with applicable export-control laws (ITAR and EAR), anti-corruption laws (including the U.S. Foreign Corrupt Practices Act), and sanctions and denied-party screening requirements. SSLC, as manufacturer, is responsible for obtaining any export authorization required for Tank Hardware it ships </w:t>
      </w:r>
      <w:r>
        <w:rPr>
          <w:b w:val="0"/>
          <w:highlight w:val="yellow"/>
        </w:rPr>
        <w:t>[unless the parties agree otherwise in writing for a specific sale]</w:t>
      </w:r>
      <w:r>
        <w:rPr>
          <w:b w:val="0"/>
        </w:rPr>
        <w:t>. No commission funds may be used for any improper payment.</w:t>
      </w:r>
    </w:p>
    <w:p>
      <w:pPr>
        <w:spacing w:after="60"/>
      </w:pPr>
      <w:r>
        <w:rPr>
          <w:b/>
        </w:rPr>
        <w:t>10.  Confidentiality</w:t>
      </w:r>
    </w:p>
    <w:p>
      <w:pPr>
        <w:spacing w:after="120"/>
      </w:pPr>
      <w:r>
        <w:rPr>
          <w:b w:val="0"/>
        </w:rPr>
        <w:t>Each party will keep the other's pricing, customer, and opportunity information confidential, and will use it only to perform this Agreement, except as required by law.</w:t>
      </w:r>
    </w:p>
    <w:p>
      <w:pPr>
        <w:spacing w:after="60"/>
      </w:pPr>
      <w:r>
        <w:rPr>
          <w:b/>
        </w:rPr>
        <w:t>11.  Related-party approval</w:t>
      </w:r>
    </w:p>
    <w:p>
      <w:pPr>
        <w:spacing w:after="120"/>
      </w:pPr>
      <w:r>
        <w:rPr>
          <w:b w:val="0"/>
        </w:rPr>
        <w:t xml:space="preserve">SSLC represents that this Agreement has been approved by a majority of its disinterested directors, with John Quinn abstaining, after full disclosure of his and Exos's interests. </w:t>
      </w:r>
      <w:r>
        <w:rPr>
          <w:b w:val="0"/>
          <w:highlight w:val="yellow"/>
        </w:rPr>
        <w:t>[Exos represents that this Agreement has been approved by its disinterested directors.]</w:t>
      </w:r>
    </w:p>
    <w:p>
      <w:pPr>
        <w:spacing w:after="60"/>
      </w:pPr>
      <w:r>
        <w:rPr>
          <w:b/>
        </w:rPr>
        <w:t>12.  General</w:t>
      </w:r>
    </w:p>
    <w:p>
      <w:pPr>
        <w:spacing w:after="120"/>
      </w:pPr>
      <w:r>
        <w:rPr>
          <w:b w:val="0"/>
        </w:rPr>
        <w:t>Exos is an independent contractor. This Agreement binds and benefits the parties and their successors and assigns, including any acquirer of SSLC, of a controlling interest in SSLC, or of SSLC's Tank Hardware business. SSLC may not assign it except to such a successor who assumes it in writing. This Agreement is the parties' complete agreement on its subject and replaces the unwritten terms of the Original Approval. It does not modify any existing purchase order or other written agreement between the parties. Neither party is liable for indirect or consequential damages. California law governs. This Agreement may be amended only in writing signed by both parties and may be signed electronically and in counterparts.</w:t>
      </w:r>
    </w:p>
    <w:p>
      <w:pPr>
        <w:spacing w:after="200"/>
      </w:pPr>
      <w:r>
        <w:rPr>
          <w:b/>
        </w:rPr>
        <w:t>SCORPIUS SPACE LAUNCH COMPANY</w:t>
      </w:r>
    </w:p>
    <w:p>
      <w:pPr>
        <w:spacing w:after="0"/>
      </w:pPr>
      <w:r>
        <w:rPr>
          <w:b w:val="0"/>
        </w:rPr>
        <w:t>By: ______________________________     Date: ______________</w:t>
      </w:r>
    </w:p>
    <w:p>
      <w:pPr>
        <w:spacing w:after="280"/>
      </w:pPr>
      <w:r>
        <w:rPr>
          <w:b w:val="0"/>
        </w:rPr>
        <w:t>James R. Wertz, Chairman</w:t>
      </w:r>
    </w:p>
    <w:p>
      <w:pPr>
        <w:spacing w:after="200"/>
      </w:pPr>
      <w:r>
        <w:rPr>
          <w:b/>
        </w:rPr>
        <w:t>EXOS AEROSPACE SYSTEMS &amp; TECHNOLOGIES, INC.</w:t>
      </w:r>
    </w:p>
    <w:p>
      <w:pPr>
        <w:spacing w:after="0"/>
      </w:pPr>
      <w:r>
        <w:rPr>
          <w:b w:val="0"/>
        </w:rPr>
        <w:t>By: ______________________________     Date: ______________</w:t>
      </w:r>
    </w:p>
    <w:p>
      <w:pPr>
        <w:spacing w:after="280"/>
      </w:pPr>
      <w:r>
        <w:rPr>
          <w:b w:val="0"/>
          <w:highlight w:val="yellow"/>
        </w:rPr>
        <w:t>[Name, Title]</w:t>
      </w:r>
    </w:p>
    <w:sectPr w:rsidR="00FC693F" w:rsidRPr="0006063C" w:rsidSect="00034616">
      <w:footerReference w:type="default" r:id="rId9"/>
      <w:headerReference w:type="default" r:id="rId10"/>
      <w:pgSz w:w="12240" w:h="15840"/>
      <w:pgMar w:top="1584" w:right="1800" w:bottom="1512"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