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B2A4A"/>
          <w:sz w:val="30"/>
        </w:rPr>
        <w:t>5.2  COMPETITIVE ANALYSIS</w:t>
      </w:r>
    </w:p>
    <w:p>
      <w:pPr>
        <w:spacing w:after="180"/>
        <w:jc w:val="center"/>
      </w:pPr>
      <w:r>
        <w:rPr>
          <w:i/>
          <w:color w:val="007AA8"/>
          <w:sz w:val="20"/>
        </w:rPr>
        <w:t>Exos Aerospace Systems &amp; Technologies, Inc.  ·  Series A Data Room  ·  August 2026</w:t>
      </w:r>
    </w:p>
    <w:p>
      <w:pPr>
        <w:spacing w:after="100"/>
      </w:pPr>
      <w:r>
        <w:rPr>
          <w:rFonts w:ascii="Calibri" w:hAnsi="Calibri"/>
          <w:b w:val="0"/>
          <w:i/>
          <w:color w:val="888888"/>
          <w:sz w:val="17"/>
        </w:rPr>
        <w:t>Confidential — for the intended investor only. Competitor references are drawn from public sources for positioning context.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1.  Positioning — Exos is the enabling layer, not an orbital prime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does not compete with orbital launch primes (SpaceX, Blue Origin, Rocket Lab, Firefly). It occupies the enabling layer beneath and beside them: reusable flight-test and qualification capacity, lunar-proven cryogenic IP, and domestic composite/propulsion supply. Exos is one of only three FAA-licensed reusable suborbital launch providers in the United States, and pairs that with irreplaceable Scorpius Type-5 cryogenic-tank IP and an AI-native operating platform.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2.  Competitive landscape by segment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2.1  Reusable suborbital flight-test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Suborbital providers include Blue Origin (New Shepard, oriented to crewed/research flights) and expendable sounding-rocket operators (e.g., UP Aerospace). Exos's differentiation is a FAA-licensed, reusable, recoverable VTVL vehicle (BLK3, the enhanced successor to the flight-proven SARGE program) built for rapid, iterative reflight and intact hardware recovery — the low-cost, ground-then-flight cadence that subsystem qualification needs. Few, if any, offer a licensed reusable suborbital test bed for hire.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2.2  Cryogenic composite tankage (Scorpius Type-5)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Composite-tank and cryo-storage players include Infinite Composites, Composite Technology Development (CTD), Gloyer-Taylor Laboratories, Rock West, and CST; ZBO storage efforts include NASA's cryocooler work and Eta Space. None of these has demonstrated a TRL-9 linerless (Type-5) cryogenic tank flown on the Moon. Scorpius Type-5 tanks flew as the fuel and LOX tanks on Intuitive Machines' Odysseus and Athena landers and are the baseline design for the IM 'Nebula' orbital transfer vehicle — a heritage no competitor matches. ZBO storage efforts are complementary (a storage technique), not a substitute for the tank itself.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2.3  Advanced propulsion (RDRE)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RDRE developers include Venus Aerospace (flight-tested RDRE, materially funded), RTX / Pratt &amp; Whitney (military effector RDE under AFRL), and NASA/DARPA/university programs. Exos is deliberately NOT an engine developer and therefore not a competitor to them; it is the complementary reusable flight-test platform that de-risks any RDRE through recoverable, altitude-swept flight data — a capability none of the engine developers possess in-house.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2.4  Composite defense industrial base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Recent MDA and OSC/DPA Title III awards to composite and solid-rocket-motor entrants (e.g., X-Bow, Ursa Major, PacSci EMC, Americarb) validate a large, capital-backed market. Exos's play is not to compete for prime weapon scope but to serve as a flight-test-side prime and composite integrator, with an acquisition path (CTD; Southwest Composite Works) to internalize domestic capacity.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3.  Exos's competitive moats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Scarce license. </w:t>
      </w:r>
      <w:r>
        <w:rPr>
          <w:rFonts w:ascii="Calibri" w:hAnsi="Calibri"/>
          <w:sz w:val="20"/>
        </w:rPr>
        <w:t>One of only three FAA-licensed reusable suborbital launch providers in the U.S.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Irreplaceable IP + arbitrage. </w:t>
      </w:r>
      <w:r>
        <w:rPr>
          <w:rFonts w:ascii="Calibri" w:hAnsi="Calibri"/>
          <w:sz w:val="20"/>
        </w:rPr>
        <w:t>ROFR on the only TRL-9, lunar-flown Type-5 cryogenic tank technology at a frozen 2021 basis.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Enabling platform. </w:t>
      </w:r>
      <w:r>
        <w:rPr>
          <w:rFonts w:ascii="Calibri" w:hAnsi="Calibri"/>
          <w:sz w:val="20"/>
        </w:rPr>
        <w:t>A reusable, recoverable flight-test vehicle that de-risks others' propulsion, avionics, and defense subsystems — a service competitors cannot easily replicate.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Financial discipline. </w:t>
      </w:r>
      <w:r>
        <w:rPr>
          <w:rFonts w:ascii="Calibri" w:hAnsi="Calibri"/>
          <w:sz w:val="20"/>
        </w:rPr>
        <w:t>Closed FY2025 profitable (revenue $1.49M, EBITDA ~$296K, net income $188K, ~$6.2M NOL) — rare at this stage and TRL.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b/>
          <w:sz w:val="20"/>
        </w:rPr>
        <w:t xml:space="preserve">AI-native operating platform. </w:t>
      </w:r>
      <w:r>
        <w:rPr>
          <w:rFonts w:ascii="Calibri" w:hAnsi="Calibri"/>
          <w:sz w:val="20"/>
        </w:rPr>
        <w:t>An AI-deployed operating layer (Mission Control + agent fleet) compounding execution speed across BD, capture, and operations.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4.  SWOT (summary)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Strengths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FAA-licensed reusable platform; lunar-proven Type-5 IP + ROFR; profitable; non-dilutive federal capital pipeline; AI-native operations.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Weaknesses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Small scale relative to primes; BLK3 licensed but not yet flying commercially (early 2027); Scorpius operating entity is capital-constrained pending acquisition.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Opportunities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National policy cadence; DoW/MDA test-side-prime lanes; orbital-mobility / CFM demand; DPA Title III / OSC composite onshoring; RDRE flight-test window.</w:t>
      </w:r>
    </w:p>
    <w:p>
      <w:pPr>
        <w:keepNext/>
        <w:spacing w:before="140" w:after="40"/>
      </w:pPr>
      <w:r>
        <w:rPr>
          <w:rFonts w:ascii="Calibri" w:hAnsi="Calibri"/>
          <w:b/>
          <w:color w:val="007AA8"/>
          <w:sz w:val="22"/>
        </w:rPr>
        <w:t>Threats</w:t>
      </w:r>
    </w:p>
    <w:p>
      <w:pPr>
        <w:spacing w:after="40"/>
        <w:ind w:left="317"/>
      </w:pPr>
      <w:r>
        <w:rPr>
          <w:rFonts w:ascii="Calibri" w:hAnsi="Calibri"/>
          <w:sz w:val="20"/>
        </w:rPr>
        <w:t xml:space="preserve">▪  </w:t>
      </w:r>
      <w:r>
        <w:rPr>
          <w:rFonts w:ascii="Calibri" w:hAnsi="Calibri"/>
          <w:sz w:val="20"/>
        </w:rPr>
        <w:t>New composite/propulsion entrants; RDRE space consolidating; dependence on federal timelines and, for Scorpius, on customer concentration until diversified through Exos's pipeline.</w:t>
      </w:r>
    </w:p>
    <w:p>
      <w:pPr>
        <w:keepNext/>
        <w:spacing w:before="200" w:after="60"/>
      </w:pPr>
      <w:r>
        <w:rPr>
          <w:rFonts w:ascii="Calibri" w:hAnsi="Calibri"/>
          <w:b/>
          <w:color w:val="1B2A4A"/>
          <w:sz w:val="26"/>
        </w:rPr>
        <w:t>5.  Bottom line</w:t>
      </w:r>
    </w:p>
    <w:p>
      <w:pPr>
        <w:spacing w:after="100"/>
      </w:pPr>
      <w:r>
        <w:rPr>
          <w:rFonts w:ascii="Calibri" w:hAnsi="Calibri"/>
          <w:b w:val="0"/>
          <w:i w:val="0"/>
          <w:sz w:val="20"/>
        </w:rPr>
        <w:t>Exos wins by being the layer everyone else needs — reusable flight-test capacity, lunar-proven cryogenic IP, and domestic composite/propulsion supply — rather than by competing for orbital-prime scope. The combination of a scarce license, irreplaceable IP at a frozen basis, a differentiated enabling platform, and profitability is not replicated by any single competitor in the landscape above.</w:t>
      </w:r>
    </w:p>
    <w:p>
      <w:pPr>
        <w:spacing w:after="0"/>
      </w:pPr>
      <w:r>
        <w:rPr>
          <w:rFonts w:ascii="Calibri" w:hAnsi="Calibri"/>
          <w:b w:val="0"/>
          <w:i w:val="0"/>
          <w:color w:val="888888"/>
          <w:sz w:val="16"/>
        </w:rPr>
        <w:t>Competitor references are public-source and illustrative of positioning, not exhaustive. BLK3 holds an FAA license (2026) and has not yet flown commercially. Exos flight-tests, and does not develop, RDRE hardware; the RDRE hardware path is a program trade-study down-select. Scorpius Type-5 flew as fuel and LOX tanks on IM Odysseus and Athena.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28" w:right="1440" w:bottom="1440" w:left="1440" w:header="57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017520" cy="4954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17520" cy="4954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880360" cy="59472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360" cy="59472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