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Exos × Purdue — NIH STTR Subaward Write-Up</w:t>
      </w:r>
    </w:p>
    <w:p>
      <w:pPr>
        <w:pStyle w:val="Heading2"/>
      </w:pPr>
      <w:r>
        <w:t>Suborbital experiment methods (Collicott) + optional BME co-investigator (Park)</w:t>
      </w:r>
    </w:p>
    <w:p>
      <w:r>
        <w:t xml:space="preserve">*Prepared for John Quinn, Exos Aerospace — 2026-08-26. Reflects the finalized structure: University of Washington / Dr. Kelly = research institution of record; </w:t>
      </w:r>
      <w:r>
        <w:rPr>
          <w:b/>
        </w:rPr>
        <w:t>Purdue = subaward (≤30%)</w:t>
      </w:r>
      <w:r>
        <w:t>; Exos = small business concern and prime. Supersedes the 8/18 "Purdue leads the science" framing — with Dr. Kelly confirmed as the biomedical lead, Purdue's role is the suborbital-methods subaward.*</w:t>
      </w:r>
    </w:p>
    <w:p>
      <w:pPr>
        <w:pStyle w:val="Heading1"/>
      </w:pPr>
      <w:r>
        <w:t>1. Purdue's role in one paragraph</w:t>
      </w:r>
    </w:p>
    <w:p>
      <w:r>
        <w:t xml:space="preserve">Under the Exos–UW NIH STTR (PA-27-102, September 8, 2026), Purdue joins by </w:t>
      </w:r>
      <w:r>
        <w:rPr>
          <w:b/>
        </w:rPr>
        <w:t>subaward (≤30% of work)</w:t>
      </w:r>
      <w:r>
        <w:t xml:space="preserve"> providing suborbital experiment design and methods, led by </w:t>
      </w:r>
      <w:r>
        <w:rPr>
          <w:b/>
        </w:rPr>
        <w:t>Prof. Steven Collicott (School of Aeronautics &amp; Astronautics)</w:t>
      </w:r>
      <w:r>
        <w:t xml:space="preserve"> — a committed Exos partner (SACSS letter of support in hand, "onboard" per his 7/27 note). </w:t>
      </w:r>
      <w:r>
        <w:rPr>
          <w:b/>
        </w:rPr>
        <w:t>Prof. Estelle (Sunghee) Park (Weldon School of Biomedical Engineering)</w:t>
      </w:r>
      <w:r>
        <w:t xml:space="preserve"> is welcomed as an </w:t>
      </w:r>
      <w:r>
        <w:rPr>
          <w:b/>
        </w:rPr>
        <w:t>optional co-investigator</w:t>
      </w:r>
      <w:r>
        <w:t xml:space="preserve"> strengthening the biomedical bench. Dr. Edward Kelly (UW) is the biomedical science lead and research institution of record; Exos is the small business concern and prime applicant.</w:t>
      </w:r>
    </w:p>
    <w:p>
      <w:pPr>
        <w:pStyle w:val="Heading1"/>
      </w:pPr>
      <w:r>
        <w:t>2. Why Purdue on the subaward</w:t>
      </w:r>
    </w:p>
    <w:p>
      <w:pPr>
        <w:pStyle w:val="ListBullet"/>
      </w:pPr>
      <w:r>
        <w:rPr>
          <w:b/>
        </w:rPr>
        <w:t>Collicott (AAE)</w:t>
      </w:r>
      <w:r>
        <w:t xml:space="preserve"> — suborbital microgravity experiment design and methods; already an Exos partner, so this is an execution role, not a cold start.</w:t>
      </w:r>
    </w:p>
    <w:p>
      <w:pPr>
        <w:pStyle w:val="ListBullet"/>
      </w:pPr>
      <w:r>
        <w:rPr>
          <w:b/>
        </w:rPr>
        <w:t>Park (BME, optional)</w:t>
      </w:r>
      <w:r>
        <w:t xml:space="preserve"> — stem-cell-derived organoids-on-chip and organ-on-chip systems (trained under Dan Huh, UPenn); adds biomedical depth to the onset-kinetics aim if she elects to join.</w:t>
      </w:r>
    </w:p>
    <w:p>
      <w:pPr>
        <w:pStyle w:val="ListBullet"/>
      </w:pPr>
      <w:r>
        <w:rPr>
          <w:b/>
        </w:rPr>
        <w:t>Same institution</w:t>
      </w:r>
      <w:r>
        <w:t xml:space="preserve"> → one Purdue Sponsored Programs Services subaward routing, no cross-department friction.</w:t>
      </w:r>
    </w:p>
    <w:p>
      <w:pPr>
        <w:pStyle w:val="Heading1"/>
      </w:pPr>
      <w:r>
        <w:t>3. Subaward scope</w:t>
      </w:r>
    </w:p>
    <w:p>
      <w:pPr>
        <w:pStyle w:val="ListBullet"/>
      </w:pPr>
      <w:r>
        <w:rPr>
          <w:b/>
        </w:rPr>
        <w:t>Suborbital experiment methods &amp; payload experiment design [Collicott]</w:t>
      </w:r>
      <w:r>
        <w:t xml:space="preserve"> — flight-profile experiment design, microgravity-onset measurement approach, payload-experiment methods feeding the Exos platform and the UW science.</w:t>
      </w:r>
    </w:p>
    <w:p>
      <w:pPr>
        <w:pStyle w:val="ListBullet"/>
      </w:pPr>
      <w:r>
        <w:rPr>
          <w:b/>
        </w:rPr>
        <w:t>Optional organoid/MPS co-investigation [Park]</w:t>
      </w:r>
      <w:r>
        <w:t xml:space="preserve"> — organoid/organ-on-chip contribution to Aim 2 (onset-kinetics characterization), complementary to Dr. Kelly's kidney-chip MPS.</w:t>
      </w:r>
    </w:p>
    <w:p>
      <w:pPr>
        <w:pStyle w:val="Heading1"/>
      </w:pPr>
      <w:r>
        <w:t>4. Where the subaward sits in the specific aims</w:t>
      </w:r>
    </w:p>
    <w:p>
      <w:pPr>
        <w:pStyle w:val="ListNumber"/>
      </w:pPr>
      <w:r>
        <w:t>Platform integration &amp; validation — *Exos lead.*</w:t>
      </w:r>
    </w:p>
    <w:p>
      <w:pPr>
        <w:pStyle w:val="ListNumber"/>
      </w:pPr>
      <w:r>
        <w:t>Onset-kinetics characterization — *Kelly / UW lead; Collicott suborbital methods; Park organoid co-investigation (optional).*</w:t>
      </w:r>
    </w:p>
    <w:p>
      <w:pPr>
        <w:pStyle w:val="ListNumber"/>
      </w:pPr>
      <w:r>
        <w:t>Screening-pipeline demonstration — *joint.*</w:t>
      </w:r>
    </w:p>
    <w:p>
      <w:pPr>
        <w:pStyle w:val="Heading1"/>
      </w:pPr>
      <w:r>
        <w:t>5. Timeline &amp; the binding gate</w:t>
      </w:r>
    </w:p>
    <w:p>
      <w:pPr>
        <w:pStyle w:val="ListBullet"/>
      </w:pPr>
      <w:r>
        <w:rPr>
          <w:b/>
        </w:rPr>
        <w:t>Purdue SPS subaward routing</w:t>
      </w:r>
      <w:r>
        <w:t xml:space="preserve"> — start now; </w:t>
      </w:r>
      <w:r>
        <w:rPr>
          <w:b/>
        </w:rPr>
        <w:t>~Sep 1</w:t>
      </w:r>
      <w:r>
        <w:t xml:space="preserve"> internal-lock target (~5 business days before deadline).</w:t>
      </w:r>
    </w:p>
    <w:p>
      <w:pPr>
        <w:pStyle w:val="ListBullet"/>
      </w:pPr>
      <w:r>
        <w:rPr>
          <w:b/>
        </w:rPr>
        <w:t>Sep 8, 2026</w:t>
      </w:r>
      <w:r>
        <w:t xml:space="preserve"> — STTR PA-27-102 deadline. UW OSP and Purdue SPS route in parallel; the later governs.</w:t>
      </w:r>
    </w:p>
    <w:p>
      <w:pPr>
        <w:pStyle w:val="Heading1"/>
      </w:pPr>
      <w:r>
        <w:t>6. The ask to Purdue</w:t>
      </w:r>
    </w:p>
    <w:p>
      <w:r>
        <w:t xml:space="preserve">Prof. Collicott opens </w:t>
      </w:r>
      <w:r>
        <w:rPr>
          <w:b/>
        </w:rPr>
        <w:t>Purdue Sponsored Programs Services</w:t>
      </w:r>
      <w:r>
        <w:t xml:space="preserve"> routing for a </w:t>
      </w:r>
      <w:r>
        <w:rPr>
          <w:b/>
        </w:rPr>
        <w:t>subaward</w:t>
      </w:r>
      <w:r>
        <w:t xml:space="preserve"> on the Exos–UW PA-27-102 STTR now, and confirms whether Prof. Park will join as an optional biomedical co-investigator. Exos will provide the budget figures and the subaward statement of work.</w:t>
      </w:r>
    </w:p>
    <w:p>
      <w:r>
        <w:rPr>
          <w:i/>
        </w:rPr>
        <w:t>Honest guardrails: NIH funds the PI and the science, not the rocket; suborbital microgravity is short-duration screening, not sustained ISS science; BLK3 is FAA-licensed but not yet flown commercially; Exos is the platform and co-author. Contact: John Quinn, Cofounder &amp; CEO, Exos Aerospace — jquinn@exosaero.com — +1-972-740-8355. Sources: Collicott intro 2026-08-17; Purdue Weldon BME (park1713@purdue.edu); NIH STTR PA-27-102; capture/NIH_Microgravity_pursuit.md.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