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Exos × University of Washington — NIH STTR Teaming Write-Up</w:t>
      </w:r>
    </w:p>
    <w:p>
      <w:pPr>
        <w:pStyle w:val="Heading2"/>
      </w:pPr>
      <w:r>
        <w:t>Suborbital MPS Onset-Kinetics Screening Platform (BLK3) — Dr. Edward Kelly, Science Lead</w:t>
      </w:r>
    </w:p>
    <w:p>
      <w:r>
        <w:rPr>
          <w:i/>
        </w:rPr>
        <w:t>Prepared for John Quinn, Exos Aerospace — 2026-08-26. Reflects Dr. Kelly's confirmed commitment. Finalized dual-institution structure: University of Washington = research institution of record; Purdue = subaward (suborbital methods); Exos = small business concern and prime applicant.</w:t>
      </w:r>
    </w:p>
    <w:p>
      <w:pPr>
        <w:pStyle w:val="Heading1"/>
      </w:pPr>
      <w:r>
        <w:t>1. The play in one paragraph</w:t>
      </w:r>
    </w:p>
    <w:p>
      <w:r>
        <w:t>Exos and the University of Washington submit an NIH STTR (PA-27-102, September 8, 2026) to develop and validate BLK3 as a reusable suborbital microgravity platform for onset-kinetics screening of microphysiological systems (MPS) and organ-on-chip payloads before an ISS flight commitment. Dr. Edward Kelly (UW) anchors the biomedical science; Exos is the small business concern providing the flight platform, payload integration, and recovery; Purdue joins by subaward for suborbital experiment methods. Framed to NIBIB as a biomedical research platform and device.</w:t>
      </w:r>
    </w:p>
    <w:p>
      <w:pPr>
        <w:pStyle w:val="Heading1"/>
      </w:pPr>
      <w:r>
        <w:t>2. Finalized team structure (STTR-compliant)</w:t>
      </w:r>
    </w:p>
    <w:p>
      <w:pPr>
        <w:pStyle w:val="ListBullet"/>
      </w:pPr>
      <w:r>
        <w:rPr>
          <w:b/>
        </w:rPr>
        <w:t>Small Business Concern (≥40% of work): Exos Aerospace</w:t>
      </w:r>
      <w:r>
        <w:t xml:space="preserve"> — vehicle, payload integration, flight operations, recovery. Prime applicant; holds the award and submits through eRA Commons.</w:t>
      </w:r>
    </w:p>
    <w:p>
      <w:pPr>
        <w:pStyle w:val="ListBullet"/>
      </w:pPr>
      <w:r>
        <w:rPr>
          <w:b/>
        </w:rPr>
        <w:t>Research Institution of Record (≥30%): University of Washington — Dr. Edward Kelly, science lead.</w:t>
      </w:r>
      <w:r>
        <w:t xml:space="preserve"> Kidney-chip and drug-transporter MPS; NCATS TraCe MPS kidney center (1U2CTR004867); ISS Tissue Chips flights (2019, 2021).</w:t>
      </w:r>
    </w:p>
    <w:p>
      <w:pPr>
        <w:pStyle w:val="ListBullet"/>
      </w:pPr>
      <w:r>
        <w:rPr>
          <w:b/>
        </w:rPr>
        <w:t>Subaward (≤30%): Purdue University</w:t>
      </w:r>
      <w:r>
        <w:t xml:space="preserve"> — suborbital experiment design and methods (Prof. Steven Collicott, AAE), with an optional Weldon BME co-investigator (Prof. Estelle Park).</w:t>
      </w:r>
    </w:p>
    <w:p>
      <w:pPr>
        <w:pStyle w:val="ListBullet"/>
      </w:pPr>
      <w:r>
        <w:rPr>
          <w:b/>
        </w:rPr>
        <w:t>PD/PI:</w:t>
      </w:r>
      <w:r>
        <w:t xml:space="preserve"> an STTR PD/PI may be employed by the SBC or the research institution. To confirm; Dr. Kelly is a strong PD/PI given his NIH and ISS record.</w:t>
      </w:r>
    </w:p>
    <w:p>
      <w:pPr>
        <w:pStyle w:val="Heading1"/>
      </w:pPr>
      <w:r>
        <w:t>3. Why the science fits suborbital (honest framing)</w:t>
      </w:r>
    </w:p>
    <w:p>
      <w:pPr>
        <w:pStyle w:val="ListBullet"/>
      </w:pPr>
      <w:r>
        <w:t xml:space="preserve">BLK3 gives ~3–4 minutes of recoverable microgravity, fast turnaround, low cost. It does </w:t>
      </w:r>
      <w:r>
        <w:rPr>
          <w:b/>
        </w:rPr>
        <w:t>not</w:t>
      </w:r>
      <w:r>
        <w:t xml:space="preserve"> replace ISS sustained-microgravity science — it </w:t>
      </w:r>
      <w:r>
        <w:rPr>
          <w:b/>
        </w:rPr>
        <w:t>screens and de-risks before</w:t>
      </w:r>
      <w:r>
        <w:t xml:space="preserve"> it.</w:t>
      </w:r>
    </w:p>
    <w:p>
      <w:pPr>
        <w:pStyle w:val="ListBullet"/>
      </w:pPr>
      <w:r>
        <w:t xml:space="preserve">The defensible niche is </w:t>
      </w:r>
      <w:r>
        <w:rPr>
          <w:b/>
        </w:rPr>
        <w:t>onset kinetics</w:t>
      </w:r>
      <w:r>
        <w:t>: how a kidney-chip / MPS initiates its response in the first seconds-to-minutes of microgravity — the window ISS launch and transit obscure. Suborbital captures it and returns the payload intact for immediate assay.</w:t>
      </w:r>
    </w:p>
    <w:p>
      <w:pPr>
        <w:pStyle w:val="ListBullet"/>
      </w:pPr>
      <w:r>
        <w:t xml:space="preserve">Guardrails held in all materials: NIH funds the PI and the science, not the rocket; suborbital microgravity is short-duration (screening, not sustained ISS science); BLK3 is FAA-licensed but </w:t>
      </w:r>
      <w:r>
        <w:rPr>
          <w:b/>
        </w:rPr>
        <w:t>not yet flown commercially</w:t>
      </w:r>
      <w:r>
        <w:t>; Exos is the platform and co-author, the PI owns the cell science.</w:t>
      </w:r>
    </w:p>
    <w:p>
      <w:pPr>
        <w:pStyle w:val="Heading1"/>
      </w:pPr>
      <w:r>
        <w:t>4. Exos assets that make this credible</w:t>
      </w:r>
    </w:p>
    <w:p>
      <w:pPr>
        <w:pStyle w:val="ListBullet"/>
      </w:pPr>
      <w:r>
        <w:rPr>
          <w:b/>
        </w:rPr>
        <w:t>One of only three FAA-licensed reusable suborbital launch providers in the US.</w:t>
      </w:r>
    </w:p>
    <w:p>
      <w:pPr>
        <w:pStyle w:val="ListBullet"/>
      </w:pPr>
      <w:r>
        <w:rPr>
          <w:b/>
        </w:rPr>
        <w:t>Flight-proven life-science heritage:</w:t>
      </w:r>
      <w:r>
        <w:t xml:space="preserve"> flew living human glioblastoma brain-tumor stem cells suborbital; results peer-reviewed in </w:t>
      </w:r>
      <w:r>
        <w:rPr>
          <w:b/>
        </w:rPr>
        <w:t>npj Microgravity (2023) 9:92</w:t>
      </w:r>
      <w:r>
        <w:t xml:space="preserve"> (Quinn co-author) — documented traction, not a projection.</w:t>
      </w:r>
    </w:p>
    <w:p>
      <w:pPr>
        <w:pStyle w:val="ListBullet"/>
      </w:pPr>
      <w:r>
        <w:t>Recoverable payload, ~3–4 minutes microgravity, 2-day turnaround target, standard payload integration (ICD available).</w:t>
      </w:r>
    </w:p>
    <w:p>
      <w:pPr>
        <w:pStyle w:val="ListBullet"/>
      </w:pPr>
      <w:r>
        <w:t xml:space="preserve">Planned </w:t>
      </w:r>
      <w:r>
        <w:rPr>
          <w:b/>
        </w:rPr>
        <w:t>March 2027 BLK3 flight</w:t>
      </w:r>
      <w:r>
        <w:t xml:space="preserve"> with available recoverable payload capacity (135 kg bay) — a concrete near-term flight to point a screening campaign at.</w:t>
      </w:r>
    </w:p>
    <w:p>
      <w:pPr>
        <w:pStyle w:val="Heading1"/>
      </w:pPr>
      <w:r>
        <w:t>5. Specific-aims skeleton (shape around Dr. Kelly's kidney-chip MPS)</w:t>
      </w:r>
    </w:p>
    <w:p>
      <w:pPr>
        <w:pStyle w:val="ListNumber"/>
      </w:pPr>
      <w:r>
        <w:rPr>
          <w:b/>
        </w:rPr>
        <w:t>Platform integration &amp; validation [Exos lead]</w:t>
      </w:r>
      <w:r>
        <w:t xml:space="preserve"> — qualify a standardized BLK3 payload module for MPS/organ-chip experiments (ICD, thermal, vibration, recovery).</w:t>
      </w:r>
    </w:p>
    <w:p>
      <w:pPr>
        <w:pStyle w:val="ListNumber"/>
      </w:pPr>
      <w:r>
        <w:rPr>
          <w:b/>
        </w:rPr>
        <w:t>Onset-kinetics characterization [Kelly / UW lead]</w:t>
      </w:r>
      <w:r>
        <w:t xml:space="preserve"> — fly the kidney-chip MPS on BLK3; characterize the 0–240 s microgravity response (transporter function, cell viability, fluid-interface behavior); generate a dataset not obtainable from ISS.</w:t>
      </w:r>
    </w:p>
    <w:p>
      <w:pPr>
        <w:pStyle w:val="ListNumber"/>
      </w:pPr>
      <w:r>
        <w:rPr>
          <w:b/>
        </w:rPr>
        <w:t>Screening-pipeline demonstration [joint]</w:t>
      </w:r>
      <w:r>
        <w:t xml:space="preserve"> — payload prep → flight → recovery → assay → de-risk-ISS decision; establish the turnaround protocol.</w:t>
      </w:r>
    </w:p>
    <w:p>
      <w:pPr>
        <w:pStyle w:val="Heading1"/>
      </w:pPr>
      <w:r>
        <w:t>6. Timeline &amp; the binding gates</w:t>
      </w:r>
    </w:p>
    <w:p>
      <w:pPr>
        <w:pStyle w:val="ListBullet"/>
      </w:pPr>
      <w:r>
        <w:rPr>
          <w:b/>
        </w:rPr>
        <w:t>Sep 8, 2026</w:t>
      </w:r>
      <w:r>
        <w:t xml:space="preserve"> — STTR PA-27-102 deadline (Sep 5 is a Saturday; Sep 7 is Labor Day).</w:t>
      </w:r>
    </w:p>
    <w:p>
      <w:pPr>
        <w:pStyle w:val="ListBullet"/>
      </w:pPr>
      <w:r>
        <w:rPr>
          <w:b/>
        </w:rPr>
        <w:t>#1 gate — Exos eRA Commons org registration</w:t>
      </w:r>
      <w:r>
        <w:t xml:space="preserve"> (in submission / queue). This is the pacing federal-registration item.</w:t>
      </w:r>
    </w:p>
    <w:p>
      <w:pPr>
        <w:pStyle w:val="ListBullet"/>
      </w:pPr>
      <w:r>
        <w:rPr>
          <w:b/>
        </w:rPr>
        <w:t>UW Office of Sponsored Programs routing (~5–7 business days)</w:t>
      </w:r>
      <w:r>
        <w:t xml:space="preserve"> and </w:t>
      </w:r>
      <w:r>
        <w:rPr>
          <w:b/>
        </w:rPr>
        <w:t>Purdue SPS subaward routing</w:t>
      </w:r>
      <w:r>
        <w:t xml:space="preserve"> run in parallel; the later one governs. Target institutional sign-off ~</w:t>
      </w:r>
      <w:r>
        <w:rPr>
          <w:b/>
        </w:rPr>
        <w:t>Sep 1</w:t>
      </w:r>
      <w:r>
        <w:t>.</w:t>
      </w:r>
    </w:p>
    <w:p>
      <w:pPr>
        <w:pStyle w:val="Heading1"/>
      </w:pPr>
      <w:r>
        <w:t>7. The ask to UW</w:t>
      </w:r>
    </w:p>
    <w:p>
      <w:r>
        <w:t xml:space="preserve">Dr. Kelly opens </w:t>
      </w:r>
      <w:r>
        <w:rPr>
          <w:b/>
        </w:rPr>
        <w:t>UW Office of Sponsored Programs</w:t>
      </w:r>
      <w:r>
        <w:t xml:space="preserve"> routing for a PA-27-102 STTR now, and connects Exos with the UW OSP grants contact so we can coordinate the budget and the Purdue subaward. A 30-minute call this week locks the specific aims and the work split.</w:t>
      </w:r>
    </w:p>
    <w:p>
      <w:r>
        <w:rPr>
          <w:i/>
        </w:rPr>
        <w:t>Contact: John Quinn, Cofounder &amp; CEO, Exos Aerospace — jquinn@exosaero.com — +1-972-740-8355. Sources: NIH STTR PA-27-102; capture/NIH_Microgravity_pursuit.md; Dr. Kelly confirmation 2026-08-26.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