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B2A4A"/>
          <w:sz w:val="30"/>
        </w:rPr>
        <w:t>5.1  MARKET RESEARCH</w:t>
      </w:r>
    </w:p>
    <w:p>
      <w:pPr>
        <w:spacing w:after="180"/>
        <w:jc w:val="center"/>
      </w:pPr>
      <w:r>
        <w:rPr>
          <w:i/>
          <w:color w:val="007AA8"/>
          <w:sz w:val="20"/>
        </w:rPr>
        <w:t>Exos Aerospace Systems &amp; Technologies, Inc.  ·  Series A Data Room  ·  August 2026 (rev. 2026-10-10)</w:t>
      </w:r>
    </w:p>
    <w:p>
      <w:pPr>
        <w:spacing w:after="100"/>
      </w:pPr>
      <w:r>
        <w:rPr>
          <w:rFonts w:ascii="Calibri" w:hAnsi="Calibri"/>
          <w:b w:val="0"/>
          <w:i/>
          <w:color w:val="888888"/>
          <w:sz w:val="17"/>
        </w:rPr>
        <w:t>Confidential — for the intended investor only. Forward-looking statements reflect management estimates; see disclaimers. Financial figures cited are directional market context from public sources, not Exos projections.</w:t>
      </w:r>
    </w:p>
    <w:p>
      <w:pPr>
        <w:keepNext/>
        <w:spacing w:before="200" w:after="60"/>
      </w:pPr>
      <w:r>
        <w:rPr>
          <w:rFonts w:ascii="Calibri" w:hAnsi="Calibri"/>
          <w:b/>
          <w:color w:val="1B2A4A"/>
          <w:sz w:val="26"/>
        </w:rPr>
        <w:t>1.  The macro backdrop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Capital is flowing into the re-industrialization of the physical world — an economy measured in the tens of trillions of dollars — and defense and aerospace are two of its hottest sectors. The 2026 U.S. National Space Transportation Policy set an explicit national objective of enabling on the order of 1,000+ launches AND reentries per year by 2030, a step-change in cadence that rewards reusability, responsiveness, and domestic industrial capacity. Two structural realities compound the opportunity: the largest launch providers have little-to-no spare capacity for third-party test and qualification work, and the Department of War is actively onshoring the composite and propulsion industrial base through the Office of Strategic Capital (OSC) and DPA Title III.</w:t>
      </w:r>
    </w:p>
    <w:p>
      <w:pPr>
        <w:keepNext/>
        <w:spacing w:before="200" w:after="60"/>
      </w:pPr>
      <w:r>
        <w:rPr>
          <w:rFonts w:ascii="Calibri" w:hAnsi="Calibri"/>
          <w:b/>
          <w:color w:val="1B2A4A"/>
          <w:sz w:val="26"/>
        </w:rPr>
        <w:t>2.  The markets Exos serves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2.1  Reusable suborbital launch &amp; flight-test / qualification services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Exos operates a FAA-licensed, reusable, recoverable suborbital vehicle (BLK3 PSRLV) purpose-built to fly and return candidate hardware — propulsion, avionics, GNC, seekers, divert-and-attitude-control — through a real high-speed, high-dynamic-pressure environment and hand it back within days. Demand comes from the Department of War and MDA (subsystem flight-test and qualification, where Exos primes the TEST scope under a weapon prime), NASA's Flight Opportunities program, and commercial hardware developers who need a low-cost, iterative ground-then-flight cadence rather than a costly single orbital shot.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2.2  Hosted payloads &amp; microgravity research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The reusable platform hosts research and commercial payloads — pharmaceutical crystallization, biotechnology, and materials science that benefit from minutes of microgravity plus recovery. Two Exos flights above 85 km unlock access to NASA Flight Opportunities (on the order of ~$1M per flight). Exos has flight heritage returning live biological payloads on suborbital missions.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2.3  Cryogenic composite tankage &amp; in-space mobility (Scorpius Type-5)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Scorpius Space Launch Company — in which Exos owns an 18% interest today and whose acquisition Exos is completing with the Series A — is the only TRL-9 source of linerless (Type-5) composite cryogenic tanks, flown as the fuel and LOX tanks on Intuitive Machines' Odysseus and Athena lunar landers. This positions the combined company in the fastest-emerging space market: orbital transfer / in-space mobility and propellant management. Industry analysts characterize orbital mobility as moving 'from a niche to a massive market opportunity,' and Scorpius's tank technology has made its first tank sale for an orbital transfer vehicle. Zero-boil-off (ZBO) cryogenic fluid management is moving from design to flight (NASA reverse-turbo-Brayton cryocooler tests, Eta Space LOXSAT, DoD-funded orbital depots), which pulls demand for flight-qualified cryogenic composite tankage.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2.4  Advanced propulsion (RDRE)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Rotating Detonation Rocket Engines (RDRE) are crossing from ground test to flight, with material public investment and DoD interest for boost and effector applications. Exos does not develop the engine; it provides the only reusable, recoverable flight-test platform able to characterize an RDRE across the full altitude envelope — the gap between TRL 5-6 ground test and a boost-viable engine — funded on a non-dilutive path (SBIR Phase II FA9300-25-C-6022, TACFI, and sole-source Phase III eligibility).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2.5  Composite defense industrial base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OSC and DPA Title III capital is flowing to composite and solid-rocket-motor industrial-base plays (cumulatively $700M+ across FY26 recipients). Exos participates as a prime integrator and flight-test partner for composite motor-case and naval composite structures, with an acquisition path (CTD; Southwest Composite Works) to bring domestic composite capacity in-house.</w:t>
      </w:r>
    </w:p>
    <w:p>
      <w:pPr>
        <w:keepNext/>
        <w:spacing w:before="200" w:after="60"/>
      </w:pPr>
      <w:r>
        <w:rPr>
          <w:rFonts w:ascii="Calibri" w:hAnsi="Calibri"/>
          <w:b/>
          <w:color w:val="1B2A4A"/>
          <w:sz w:val="26"/>
        </w:rPr>
        <w:t>3.  Market sizing (directional)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b/>
          <w:sz w:val="20"/>
        </w:rPr>
        <w:t xml:space="preserve">Global launch services </w:t>
      </w:r>
      <w:r>
        <w:rPr>
          <w:rFonts w:ascii="Calibri" w:hAnsi="Calibri"/>
          <w:sz w:val="20"/>
        </w:rPr>
        <w:t>a multi-billion-dollar market (public estimates on the order of ~$15-20B and growing at double-digit rates), within which reusable, responsive, and flight-test/qualification services are the fastest-growing, capacity-constrained segments.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b/>
          <w:sz w:val="20"/>
        </w:rPr>
        <w:t xml:space="preserve">In-space mobility / CFM </w:t>
      </w:r>
      <w:r>
        <w:rPr>
          <w:rFonts w:ascii="Calibri" w:hAnsi="Calibri"/>
          <w:sz w:val="20"/>
        </w:rPr>
        <w:t>characterized by industry as transitioning from niche to mass market; driven by cislunar cadence, depots, and orbital transfer vehicles — the direct addressable market for Scorpius Type-5 tankage.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b/>
          <w:sz w:val="20"/>
        </w:rPr>
        <w:t xml:space="preserve">Advanced propulsion &amp; defense composites </w:t>
      </w:r>
      <w:r>
        <w:rPr>
          <w:rFonts w:ascii="Calibri" w:hAnsi="Calibri"/>
          <w:sz w:val="20"/>
        </w:rPr>
        <w:t>anchored by non-dilutive federal capital (SBIR/STTR, TACFI/STRATFI, OSC, DPA Title III) and MDA/DoW demand for low-cost, domestically-produced propulsion and composite structures.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Exos's serviceable position is deliberately narrow and defensible: it monetizes reusable flight-test capacity, lunar-proven cryogenic IP, and a domestic composite/propulsion supply chain — segments where the largest players are absent or capacity-constrained.</w:t>
      </w:r>
    </w:p>
    <w:p>
      <w:pPr>
        <w:keepNext/>
        <w:spacing w:before="200" w:after="60"/>
      </w:pPr>
      <w:r>
        <w:rPr>
          <w:rFonts w:ascii="Calibri" w:hAnsi="Calibri"/>
          <w:b/>
          <w:color w:val="1B2A4A"/>
          <w:sz w:val="26"/>
        </w:rPr>
        <w:t>4.  Demand drivers &amp; tailwinds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sz w:val="20"/>
        </w:rPr>
        <w:t>National Space Transportation Policy (1,000+ launches/reentries by 2030) rewards reusability and cadence.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sz w:val="20"/>
        </w:rPr>
        <w:t>DoW/MDA responsiveness + industrial-base onshoring (OSC, DPA Title III) — direct pull for domestic composite and flight-test capacity.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sz w:val="20"/>
        </w:rPr>
        <w:t>Cislunar and orbital-mobility cadence — Scorpius Type-5 tanks already lunar-flown (Odysseus, Athena); first tank sale made for an orbital transfer vehicle.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sz w:val="20"/>
        </w:rPr>
        <w:t>No spare capacity at the largest launch providers, leaving the test/qualification lane open.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sz w:val="20"/>
        </w:rPr>
        <w:t>Pharma and biotech microgravity demand for recoverable suborbital access.</w:t>
      </w:r>
    </w:p>
    <w:p>
      <w:pPr>
        <w:keepNext/>
        <w:spacing w:before="200" w:after="60"/>
      </w:pPr>
      <w:r>
        <w:rPr>
          <w:rFonts w:ascii="Calibri" w:hAnsi="Calibri"/>
          <w:b/>
          <w:color w:val="1B2A4A"/>
          <w:sz w:val="26"/>
        </w:rPr>
        <w:t>5.  Why now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RDRE is crossing to flight, ZBO cryogenic management is moving from design to flight, and defense industrial-base capital is being deployed — all within a narrow window. Exos is one of only three FAA-licensed reusable suborbital launch providers in the United States, owns 18% of Scorpius — the only TRL-9 lunar-proven Type-5 cryogenic tank technology — and is completing its acquisition, and closed FY2025 profitable — a rare combination of asymmetric IP, differentiated capability, and financial discipline entering a market inflection.</w:t>
      </w:r>
    </w:p>
    <w:p>
      <w:pPr>
        <w:spacing w:after="0"/>
      </w:pPr>
      <w:r>
        <w:rPr>
          <w:rFonts w:ascii="Calibri" w:hAnsi="Calibri"/>
          <w:b w:val="0"/>
          <w:i w:val="0"/>
          <w:color w:val="888888"/>
          <w:sz w:val="16"/>
        </w:rPr>
        <w:t>Sources: 2026 U.S. National Space Transportation Policy; NASA Flight Opportunities &amp; CFM/ZBO program disclosures; SMAD / Intuitive Machines orbital-mobility commentary; public OSC/DPA Title III award announcements; Exos &amp; Scorpius program records. BLK3 holds an FAA license (2026) and has not yet flown commercially. Exos flight-tests, and does not develop, RDRE hardware.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28" w:right="1440" w:bottom="1440" w:left="1440" w:header="576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3017520" cy="4954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17520" cy="495448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880360" cy="59472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80360" cy="59472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