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EXOS-ITZ-002-0</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08/21/2026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DRAFT</w:t>
      </w:r>
    </w:p>
    <w:p>
      <w:pPr>
        <w:spacing w:before="120" w:after="40"/>
        <w:jc w:val="center"/>
        <w:pBdr>
          <w:bottom w:val="single" w:sz="8" w:space="3" w:color="0b2a4a"/>
        </w:pBdr>
      </w:pPr>
      <w:r>
        <w:rPr>
          <w:rFonts w:ascii="Calibri" w:hAnsi="Calibri"/>
          <w:b/>
          <w:i w:val="0"/>
          <w:color w:val="0B2A4A"/>
          <w:sz w:val="34"/>
        </w:rPr>
        <w:t>ITZ Container Security Monitoring System</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define the operation, monitoring, maintenance, and response for the ITZ container's physical and electronic security monitoring system, ensuring tamper-evident, access-controlled custody of international payloads.</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This procedure frames how the GSS Global Secure ITZ container is secured and monitored end to end. The system must operate self-powered (battery/solar, cellular uplink) because the pad has no facility power. Detailed configuration is supplied by Security (Steve Norsworthy); operators are trained on the security software by Global Secure Shipping. Access follows a tiered authorization model under the ITZ Technology Control Plan.</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Task 1 - System description and components (self-powered)</w:t>
      </w:r>
    </w:p>
    <w:p>
      <w:pPr>
        <w:spacing w:after="60"/>
        <w:ind w:left="360"/>
      </w:pPr>
      <w:r>
        <w:rPr>
          <w:rFonts w:ascii="Calibri" w:hAnsi="Calibri"/>
          <w:b w:val="0"/>
          <w:i w:val="0"/>
          <w:color w:val="0B2A4A"/>
          <w:sz w:val="24"/>
        </w:rPr>
        <w:t xml:space="preserve">☐  </w:t>
      </w:r>
      <w:r>
        <w:rPr>
          <w:rFonts w:ascii="Calibri" w:hAnsi="Calibri"/>
          <w:b w:val="0"/>
          <w:i w:val="0"/>
          <w:color w:val="1C1C1C"/>
          <w:sz w:val="21"/>
        </w:rPr>
        <w:t>[Steve to detail] Document monitoring components: six-sided intrusion/hole detection, door-opening detection, CCTV, access control, environmental sensors, and two-way/cellular communications.</w:t>
      </w:r>
    </w:p>
    <w:p>
      <w:pPr>
        <w:spacing w:after="60"/>
        <w:ind w:left="360"/>
      </w:pPr>
      <w:r>
        <w:rPr>
          <w:rFonts w:ascii="Calibri" w:hAnsi="Calibri"/>
          <w:b w:val="0"/>
          <w:i w:val="0"/>
          <w:color w:val="0B2A4A"/>
          <w:sz w:val="24"/>
        </w:rPr>
        <w:t xml:space="preserve">☐  </w:t>
      </w:r>
      <w:r>
        <w:rPr>
          <w:rFonts w:ascii="Calibri" w:hAnsi="Calibri"/>
          <w:b w:val="0"/>
          <w:i w:val="0"/>
          <w:color w:val="1C1C1C"/>
          <w:sz w:val="21"/>
        </w:rPr>
        <w:t>DESIGN CONSTRAINT: system is SELF-POWERED (battery and/or solar) with a defined battery-backup runtime and cellular uplink - no facility power at the pad.</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system make/model, software, and version.</w:t>
      </w:r>
    </w:p>
    <w:p>
      <w:pPr>
        <w:keepNext/>
        <w:spacing w:before="140" w:after="60"/>
      </w:pPr>
      <w:r>
        <w:rPr>
          <w:rFonts w:ascii="Calibri" w:hAnsi="Calibri"/>
          <w:b/>
          <w:i w:val="0"/>
          <w:color w:val="0B2A4A"/>
          <w:sz w:val="22"/>
        </w:rPr>
        <w:t>Task 2 - Access control and authorization (tiered, per Technology Control Plan)</w:t>
      </w:r>
    </w:p>
    <w:p>
      <w:pPr>
        <w:spacing w:after="60"/>
        <w:ind w:left="360"/>
      </w:pPr>
      <w:r>
        <w:rPr>
          <w:rFonts w:ascii="Calibri" w:hAnsi="Calibri"/>
          <w:b w:val="0"/>
          <w:i w:val="0"/>
          <w:color w:val="0B2A4A"/>
          <w:sz w:val="24"/>
        </w:rPr>
        <w:t xml:space="preserve">☐  </w:t>
      </w:r>
      <w:r>
        <w:rPr>
          <w:rFonts w:ascii="Calibri" w:hAnsi="Calibri"/>
          <w:b w:val="0"/>
          <w:i w:val="0"/>
          <w:color w:val="1C1C1C"/>
          <w:sz w:val="21"/>
        </w:rPr>
        <w:t>Maintain the authorized-access list under the ITZ Technology Control Plan (TCP), applying least-privilege and logging every entry/exit (who, when, purpose).</w:t>
      </w:r>
    </w:p>
    <w:p>
      <w:pPr>
        <w:spacing w:after="60"/>
        <w:ind w:left="360"/>
      </w:pPr>
      <w:r>
        <w:rPr>
          <w:rFonts w:ascii="Calibri" w:hAnsi="Calibri"/>
          <w:b w:val="0"/>
          <w:i w:val="0"/>
          <w:color w:val="0B2A4A"/>
          <w:sz w:val="24"/>
        </w:rPr>
        <w:t xml:space="preserve">☐  </w:t>
      </w:r>
      <w:r>
        <w:rPr>
          <w:rFonts w:ascii="Calibri" w:hAnsi="Calibri"/>
          <w:b w:val="0"/>
          <w:i w:val="0"/>
          <w:color w:val="1C1C1C"/>
          <w:sz w:val="21"/>
        </w:rPr>
        <w:t>Tier 1 - Exos operators: full container operations and payload handling; U.S. persons, trained, under the TCP.</w:t>
      </w:r>
    </w:p>
    <w:p>
      <w:pPr>
        <w:spacing w:after="60"/>
        <w:ind w:left="360"/>
      </w:pPr>
      <w:r>
        <w:rPr>
          <w:rFonts w:ascii="Calibri" w:hAnsi="Calibri"/>
          <w:b w:val="0"/>
          <w:i w:val="0"/>
          <w:color w:val="0B2A4A"/>
          <w:sz w:val="24"/>
        </w:rPr>
        <w:t xml:space="preserve">☐  </w:t>
      </w:r>
      <w:r>
        <w:rPr>
          <w:rFonts w:ascii="Calibri" w:hAnsi="Calibri"/>
          <w:b w:val="0"/>
          <w:i w:val="0"/>
          <w:color w:val="1C1C1C"/>
          <w:sz w:val="21"/>
        </w:rPr>
        <w:t>Tier 2 - Host partner (Edgar Johansson + designated Montana Spaceport team): trained on access operation (Exos-supported; GSS security-software training), facility/container access; handling of controlled payloads only if U.S. persons under NDA + TCP, otherwise host/logistics support only.</w:t>
      </w:r>
    </w:p>
    <w:p>
      <w:pPr>
        <w:spacing w:after="60"/>
        <w:ind w:left="360"/>
      </w:pPr>
      <w:r>
        <w:rPr>
          <w:rFonts w:ascii="Calibri" w:hAnsi="Calibri"/>
          <w:b w:val="0"/>
          <w:i w:val="0"/>
          <w:color w:val="0B2A4A"/>
          <w:sz w:val="24"/>
        </w:rPr>
        <w:t xml:space="preserve">☐  </w:t>
      </w:r>
      <w:r>
        <w:rPr>
          <w:rFonts w:ascii="Calibri" w:hAnsi="Calibri"/>
          <w:b w:val="0"/>
          <w:i w:val="0"/>
          <w:color w:val="1C1C1C"/>
          <w:sz w:val="21"/>
        </w:rPr>
        <w:t>Tier 3 - Emergency/security response (Butte airport security forces / local law enforcement): physical / break-glass emergency access only, logged - no payload handling.</w:t>
      </w:r>
    </w:p>
    <w:p>
      <w:pPr>
        <w:spacing w:after="60"/>
        <w:ind w:left="360"/>
      </w:pPr>
      <w:r>
        <w:rPr>
          <w:rFonts w:ascii="Calibri" w:hAnsi="Calibri"/>
          <w:b w:val="0"/>
          <w:i w:val="0"/>
          <w:color w:val="0B2A4A"/>
          <w:sz w:val="24"/>
        </w:rPr>
        <w:t xml:space="preserve">☐  </w:t>
      </w:r>
      <w:r>
        <w:rPr>
          <w:rFonts w:ascii="Calibri" w:hAnsi="Calibri"/>
          <w:b w:val="0"/>
          <w:i w:val="0"/>
          <w:color w:val="1C1C1C"/>
          <w:sz w:val="21"/>
        </w:rPr>
        <w:t>[Steve to detail] Credential issuance/revocation; control foreign-person access per export-control (deemed-export) requirements.</w:t>
      </w:r>
    </w:p>
    <w:p>
      <w:pPr>
        <w:keepNext/>
        <w:spacing w:before="140" w:after="60"/>
      </w:pPr>
      <w:r>
        <w:rPr>
          <w:rFonts w:ascii="Calibri" w:hAnsi="Calibri"/>
          <w:b/>
          <w:i w:val="0"/>
          <w:color w:val="0B2A4A"/>
          <w:sz w:val="22"/>
        </w:rPr>
        <w:t>Task 3 - Monitoring and alarm response</w:t>
      </w:r>
    </w:p>
    <w:p>
      <w:pPr>
        <w:spacing w:after="60"/>
        <w:ind w:left="360"/>
      </w:pPr>
      <w:r>
        <w:rPr>
          <w:rFonts w:ascii="Calibri" w:hAnsi="Calibri"/>
          <w:b w:val="0"/>
          <w:i w:val="0"/>
          <w:color w:val="0B2A4A"/>
          <w:sz w:val="24"/>
        </w:rPr>
        <w:t xml:space="preserve">☐  </w:t>
      </w:r>
      <w:r>
        <w:rPr>
          <w:rFonts w:ascii="Calibri" w:hAnsi="Calibri"/>
          <w:b w:val="0"/>
          <w:i w:val="0"/>
          <w:color w:val="1C1C1C"/>
          <w:sz w:val="21"/>
        </w:rPr>
        <w:t>[Steve to detail] Define normal monitoring, alerting thresholds, and the monitoring station/uplink.</w:t>
      </w:r>
    </w:p>
    <w:p>
      <w:pPr>
        <w:spacing w:after="60"/>
        <w:ind w:left="360"/>
      </w:pPr>
      <w:r>
        <w:rPr>
          <w:rFonts w:ascii="Calibri" w:hAnsi="Calibri"/>
          <w:b w:val="0"/>
          <w:i w:val="0"/>
          <w:color w:val="0B2A4A"/>
          <w:sz w:val="24"/>
        </w:rPr>
        <w:t xml:space="preserve">☐  </w:t>
      </w:r>
      <w:r>
        <w:rPr>
          <w:rFonts w:ascii="Calibri" w:hAnsi="Calibri"/>
          <w:b w:val="0"/>
          <w:i w:val="0"/>
          <w:color w:val="1C1C1C"/>
          <w:sz w:val="21"/>
        </w:rPr>
        <w:t>[Steve to detail] Define alarm response and escalation (who is notified, response times, law-enforcement/Airport coordination).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all alarms and dispositions.</w:t>
      </w:r>
    </w:p>
    <w:p>
      <w:pPr>
        <w:keepNext/>
        <w:spacing w:before="140" w:after="60"/>
      </w:pPr>
      <w:r>
        <w:rPr>
          <w:rFonts w:ascii="Calibri" w:hAnsi="Calibri"/>
          <w:b/>
          <w:i w:val="0"/>
          <w:color w:val="0B2A4A"/>
          <w:sz w:val="22"/>
        </w:rPr>
        <w:t>Task 4 - Tamper-evidence, seals, and chain-of-custody</w:t>
      </w:r>
    </w:p>
    <w:p>
      <w:pPr>
        <w:spacing w:after="60"/>
        <w:ind w:left="360"/>
      </w:pPr>
      <w:r>
        <w:rPr>
          <w:rFonts w:ascii="Calibri" w:hAnsi="Calibri"/>
          <w:b w:val="0"/>
          <w:i w:val="0"/>
          <w:color w:val="0B2A4A"/>
          <w:sz w:val="24"/>
        </w:rPr>
        <w:t xml:space="preserve">☐  </w:t>
      </w:r>
      <w:r>
        <w:rPr>
          <w:rFonts w:ascii="Calibri" w:hAnsi="Calibri"/>
          <w:b w:val="0"/>
          <w:i w:val="0"/>
          <w:color w:val="1C1C1C"/>
          <w:sz w:val="21"/>
        </w:rPr>
        <w:t>Apply and record numbered tamper-evident seals on the container and payload enclosures.</w:t>
      </w:r>
    </w:p>
    <w:p>
      <w:pPr>
        <w:spacing w:after="60"/>
        <w:ind w:left="360"/>
      </w:pPr>
      <w:r>
        <w:rPr>
          <w:rFonts w:ascii="Calibri" w:hAnsi="Calibri"/>
          <w:b w:val="0"/>
          <w:i w:val="0"/>
          <w:color w:val="0B2A4A"/>
          <w:sz w:val="24"/>
        </w:rPr>
        <w:t xml:space="preserve">☐  </w:t>
      </w:r>
      <w:r>
        <w:rPr>
          <w:rFonts w:ascii="Calibri" w:hAnsi="Calibri"/>
          <w:b w:val="0"/>
          <w:i w:val="0"/>
          <w:color w:val="1C1C1C"/>
          <w:sz w:val="21"/>
        </w:rPr>
        <w:t>Verify seal integrity at each custody transfer; document breaks and causes.</w:t>
      </w:r>
    </w:p>
    <w:p>
      <w:pPr>
        <w:spacing w:after="60"/>
        <w:ind w:left="360"/>
      </w:pPr>
      <w:r>
        <w:rPr>
          <w:rFonts w:ascii="Calibri" w:hAnsi="Calibri"/>
          <w:b w:val="0"/>
          <w:i w:val="0"/>
          <w:color w:val="0B2A4A"/>
          <w:sz w:val="24"/>
        </w:rPr>
        <w:t xml:space="preserve">☐  </w:t>
      </w:r>
      <w:r>
        <w:rPr>
          <w:rFonts w:ascii="Calibri" w:hAnsi="Calibri"/>
          <w:b w:val="0"/>
          <w:i w:val="0"/>
          <w:color w:val="1C1C1C"/>
          <w:sz w:val="21"/>
        </w:rPr>
        <w:t>Maintain the chain-of-custody log consistent with EXOS-ITZ-003.</w:t>
      </w:r>
    </w:p>
    <w:p>
      <w:pPr>
        <w:keepNext/>
        <w:spacing w:before="140" w:after="60"/>
      </w:pPr>
      <w:r>
        <w:rPr>
          <w:rFonts w:ascii="Calibri" w:hAnsi="Calibri"/>
          <w:b/>
          <w:i w:val="0"/>
          <w:color w:val="0B2A4A"/>
          <w:sz w:val="22"/>
        </w:rPr>
        <w:t>Task 5 - Logging, review, and audit</w:t>
      </w:r>
    </w:p>
    <w:p>
      <w:pPr>
        <w:spacing w:after="60"/>
        <w:ind w:left="360"/>
      </w:pPr>
      <w:r>
        <w:rPr>
          <w:rFonts w:ascii="Calibri" w:hAnsi="Calibri"/>
          <w:b w:val="0"/>
          <w:i w:val="0"/>
          <w:color w:val="0B2A4A"/>
          <w:sz w:val="24"/>
        </w:rPr>
        <w:t xml:space="preserve">☐  </w:t>
      </w:r>
      <w:r>
        <w:rPr>
          <w:rFonts w:ascii="Calibri" w:hAnsi="Calibri"/>
          <w:b w:val="0"/>
          <w:i w:val="0"/>
          <w:color w:val="1C1C1C"/>
          <w:sz w:val="21"/>
        </w:rPr>
        <w:t>Retain access, alarm, and video logs per the records schedule.</w:t>
      </w:r>
    </w:p>
    <w:p>
      <w:pPr>
        <w:spacing w:after="60"/>
        <w:ind w:left="360"/>
      </w:pPr>
      <w:r>
        <w:rPr>
          <w:rFonts w:ascii="Calibri" w:hAnsi="Calibri"/>
          <w:b w:val="0"/>
          <w:i w:val="0"/>
          <w:color w:val="0B2A4A"/>
          <w:sz w:val="24"/>
        </w:rPr>
        <w:t xml:space="preserve">☐  </w:t>
      </w:r>
      <w:r>
        <w:rPr>
          <w:rFonts w:ascii="Calibri" w:hAnsi="Calibri"/>
          <w:b w:val="0"/>
          <w:i w:val="0"/>
          <w:color w:val="1C1C1C"/>
          <w:sz w:val="21"/>
        </w:rPr>
        <w:t>Perform periodic review/audit of logs and system health.</w:t>
      </w:r>
    </w:p>
    <w:p>
      <w:pPr>
        <w:spacing w:after="60"/>
        <w:ind w:left="360"/>
      </w:pPr>
      <w:r>
        <w:rPr>
          <w:rFonts w:ascii="Calibri" w:hAnsi="Calibri"/>
          <w:b w:val="0"/>
          <w:i w:val="0"/>
          <w:color w:val="0B2A4A"/>
          <w:sz w:val="24"/>
        </w:rPr>
        <w:t xml:space="preserve">☐  </w:t>
      </w:r>
      <w:r>
        <w:rPr>
          <w:rFonts w:ascii="Calibri" w:hAnsi="Calibri"/>
          <w:b w:val="0"/>
          <w:i w:val="0"/>
          <w:color w:val="1C1C1C"/>
          <w:sz w:val="21"/>
        </w:rPr>
        <w:t>Report anomalies to the Security owner.</w:t>
      </w:r>
    </w:p>
    <w:p>
      <w:pPr>
        <w:keepNext/>
        <w:spacing w:before="140" w:after="60"/>
      </w:pPr>
      <w:r>
        <w:rPr>
          <w:rFonts w:ascii="Calibri" w:hAnsi="Calibri"/>
          <w:b/>
          <w:i w:val="0"/>
          <w:color w:val="0B2A4A"/>
          <w:sz w:val="22"/>
        </w:rPr>
        <w:t>Task 6 - Training and maintenance</w:t>
      </w:r>
    </w:p>
    <w:p>
      <w:pPr>
        <w:spacing w:after="60"/>
        <w:ind w:left="360"/>
      </w:pPr>
      <w:r>
        <w:rPr>
          <w:rFonts w:ascii="Calibri" w:hAnsi="Calibri"/>
          <w:b w:val="0"/>
          <w:i w:val="0"/>
          <w:color w:val="0B2A4A"/>
          <w:sz w:val="24"/>
        </w:rPr>
        <w:t xml:space="preserve">☐  </w:t>
      </w:r>
      <w:r>
        <w:rPr>
          <w:rFonts w:ascii="Calibri" w:hAnsi="Calibri"/>
          <w:b w:val="0"/>
          <w:i w:val="0"/>
          <w:color w:val="1C1C1C"/>
          <w:sz w:val="21"/>
        </w:rPr>
        <w:t>Complete security software training delivered by Global Secure Shipping before operating the system; retain training records.</w:t>
      </w:r>
    </w:p>
    <w:p>
      <w:pPr>
        <w:spacing w:after="60"/>
        <w:ind w:left="360"/>
      </w:pPr>
      <w:r>
        <w:rPr>
          <w:rFonts w:ascii="Calibri" w:hAnsi="Calibri"/>
          <w:b w:val="0"/>
          <w:i w:val="0"/>
          <w:color w:val="0B2A4A"/>
          <w:sz w:val="24"/>
        </w:rPr>
        <w:t xml:space="preserve">☐  </w:t>
      </w:r>
      <w:r>
        <w:rPr>
          <w:rFonts w:ascii="Calibri" w:hAnsi="Calibri"/>
          <w:b w:val="0"/>
          <w:i w:val="0"/>
          <w:color w:val="1C1C1C"/>
          <w:sz w:val="21"/>
        </w:rPr>
        <w:t>[Steve to detail] Preventive maintenance, calibration, and test schedule for sensors/CCTV.</w:t>
      </w:r>
    </w:p>
    <w:p>
      <w:pPr>
        <w:spacing w:after="60"/>
        <w:ind w:left="360"/>
      </w:pPr>
      <w:r>
        <w:rPr>
          <w:rFonts w:ascii="Calibri" w:hAnsi="Calibri"/>
          <w:b w:val="0"/>
          <w:i w:val="0"/>
          <w:color w:val="0B2A4A"/>
          <w:sz w:val="24"/>
        </w:rPr>
        <w:t xml:space="preserve">☐  </w:t>
      </w:r>
      <w:r>
        <w:rPr>
          <w:rFonts w:ascii="Calibri" w:hAnsi="Calibri"/>
          <w:b w:val="0"/>
          <w:i w:val="0"/>
          <w:color w:val="1C1C1C"/>
          <w:sz w:val="21"/>
        </w:rPr>
        <w:t>Verify the system after any container move or power event (see EXOS-ITZ-001).</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Steve Norsworthy / Security   ·   Reference documents: DHS CRADA [ref]; Butte ITZ MOA; EXOS-ITZ-001; EXOS-ITZ-003; ITZ Technology Control Plan (TCP); ITAR 22 CFR 120-130; EAR 15 CFR 730-774; CMMC 2.0 / NIST SP 800-171 (as applicable); Global Secure Shipping (GSS) training materials.</w:t>
      </w:r>
    </w:p>
    <w:sectPr w:rsidR="00FC693F" w:rsidRPr="0006063C" w:rsidSect="00034616">
      <w:headerReference w:type="default" r:id="rId9"/>
      <w:footerReference w:type="default" r:id="rId10"/>
      <w:pgSz w:w="12240" w:h="15840"/>
      <w:pgMar w:top="720" w:right="1296" w:bottom="792" w:left="1296" w:header="432"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b w:val="0"/>
        <w:i w:val="0"/>
        <w:color w:val="606A78"/>
        <w:sz w:val="16"/>
      </w:rPr>
      <w:t xml:space="preserve">EXOS-ITZ-002-0 Rev 0  ·  Controlled copy — valid for today's date only  ·  Process &amp; Procedure Control per EXOS-US-QMS-001  ·  Page </w:t>
    </w:r>
    <w:r>
      <w:fldChar w:fldCharType="begin"/>
    </w:r>
    <w:r>
      <w:rPr>
        <w:rFonts w:ascii="Calibri" w:hAnsi="Calibri"/>
        <w:color w:val="606A78"/>
        <w:sz w:val="16"/>
      </w:rPr>
      <w:instrText xml:space="preserve"> PAGE </w:instrText>
    </w:r>
    <w:r>
      <w:fldChar w:fldCharType="end"/>
    </w:r>
  </w:p>
  <w:p>
    <w:pPr>
      <w:spacing w:before="60" w:after="0"/>
      <w:jc w:val="center"/>
    </w:pPr>
    <w:r>
      <w:drawing>
        <wp:inline xmlns:a="http://schemas.openxmlformats.org/drawingml/2006/main" xmlns:pic="http://schemas.openxmlformats.org/drawingml/2006/picture">
          <wp:extent cx="4572000" cy="750679"/>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4572000" cy="750679"/>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drawing>
        <wp:inline xmlns:a="http://schemas.openxmlformats.org/drawingml/2006/main" xmlns:pic="http://schemas.openxmlformats.org/drawingml/2006/picture">
          <wp:extent cx="4572000" cy="944009"/>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4572000" cy="94400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