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EXOS-ITZ-003-0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08/21/2026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ITZ Payload Operations - Inbound Receipt, Outbound Dispatch, and Return</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establish the controlled process for receiving international payloads into the ITZ container, dispatching (loading out) payloads, and processing final returns, in compliance with customs / Foreign-Trade Zone and U.S. export-control (ITAR / EAR) requirements.</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This procedure governs the payload lifecycle at the ITZ container: pre-receipt compliance screening, inbound receipt and custody, in-container handling, outbound dispatch, and final return, with the legal framework and support-cost accounting for each activity.</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Pre-receipt authorization and compliance screen</w:t>
      </w:r>
    </w:p>
    <w:p>
      <w:pPr>
        <w:spacing w:after="60"/>
        <w:ind w:left="360"/>
      </w:pPr>
      <w:r>
        <w:rPr>
          <w:rFonts w:ascii="Calibri" w:hAnsi="Calibri"/>
          <w:b w:val="0"/>
          <w:i w:val="0"/>
          <w:color w:val="0B2A4A"/>
          <w:sz w:val="24"/>
        </w:rPr>
        <w:t xml:space="preserve">☐  </w:t>
      </w:r>
      <w:r>
        <w:rPr>
          <w:rFonts w:ascii="Calibri" w:hAnsi="Calibri"/>
          <w:b w:val="0"/>
          <w:i w:val="0"/>
          <w:color w:val="1C1C1C"/>
          <w:sz w:val="21"/>
        </w:rPr>
        <w:t>Screen the payload, consignor, and parties against ITAR/EAR and denied/sanctioned-party lists; document the export jurisdiction/classification.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customs/FTZ entry treatment and required CBP documentation (19 CFR 146).</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any required DDTC authorization/license and confirm conformance with the DHS CRADA.</w:t>
      </w:r>
    </w:p>
    <w:p>
      <w:pPr>
        <w:spacing w:after="60"/>
        <w:ind w:left="360"/>
      </w:pPr>
      <w:r>
        <w:rPr>
          <w:rFonts w:ascii="Calibri" w:hAnsi="Calibri"/>
          <w:b w:val="0"/>
          <w:i w:val="0"/>
          <w:color w:val="0B2A4A"/>
          <w:sz w:val="24"/>
        </w:rPr>
        <w:t xml:space="preserve">☐  </w:t>
      </w:r>
      <w:r>
        <w:rPr>
          <w:rFonts w:ascii="Calibri" w:hAnsi="Calibri"/>
          <w:b w:val="0"/>
          <w:i w:val="0"/>
          <w:color w:val="1C1C1C"/>
          <w:sz w:val="21"/>
        </w:rPr>
        <w:t>Control and screen foreign-person access for the specific payload (deemed-export check).</w:t>
      </w:r>
    </w:p>
    <w:p>
      <w:pPr>
        <w:keepNext/>
        <w:spacing w:before="140" w:after="60"/>
      </w:pPr>
      <w:r>
        <w:rPr>
          <w:rFonts w:ascii="Calibri" w:hAnsi="Calibri"/>
          <w:b/>
          <w:i w:val="0"/>
          <w:color w:val="0B2A4A"/>
          <w:sz w:val="22"/>
        </w:rPr>
        <w:t>Task 2 - Inbound payload receipt into the container</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the inbound consignment against the manifest; conduct customs-supervised entry as required.</w:t>
      </w:r>
    </w:p>
    <w:p>
      <w:pPr>
        <w:spacing w:after="60"/>
        <w:ind w:left="360"/>
      </w:pPr>
      <w:r>
        <w:rPr>
          <w:rFonts w:ascii="Calibri" w:hAnsi="Calibri"/>
          <w:b w:val="0"/>
          <w:i w:val="0"/>
          <w:color w:val="0B2A4A"/>
          <w:sz w:val="24"/>
        </w:rPr>
        <w:t xml:space="preserve">☐  </w:t>
      </w:r>
      <w:r>
        <w:rPr>
          <w:rFonts w:ascii="Calibri" w:hAnsi="Calibri"/>
          <w:b w:val="0"/>
          <w:i w:val="0"/>
          <w:color w:val="1C1C1C"/>
          <w:sz w:val="21"/>
        </w:rPr>
        <w:t>Inspect condition and seals; photograph and record exceptions.</w:t>
      </w:r>
    </w:p>
    <w:p>
      <w:pPr>
        <w:spacing w:after="60"/>
        <w:ind w:left="360"/>
      </w:pPr>
      <w:r>
        <w:rPr>
          <w:rFonts w:ascii="Calibri" w:hAnsi="Calibri"/>
          <w:b w:val="0"/>
          <w:i w:val="0"/>
          <w:color w:val="0B2A4A"/>
          <w:sz w:val="24"/>
        </w:rPr>
        <w:t xml:space="preserve">☐  </w:t>
      </w:r>
      <w:r>
        <w:rPr>
          <w:rFonts w:ascii="Calibri" w:hAnsi="Calibri"/>
          <w:b w:val="0"/>
          <w:i w:val="0"/>
          <w:color w:val="1C1C1C"/>
          <w:sz w:val="21"/>
        </w:rPr>
        <w:t>Enter the payload into the chain-of-custody log and apply tamper-evident seals (EXOS-ITZ-002).</w:t>
      </w:r>
    </w:p>
    <w:p>
      <w:pPr>
        <w:spacing w:after="60"/>
        <w:ind w:left="360"/>
      </w:pPr>
      <w:r>
        <w:rPr>
          <w:rFonts w:ascii="Calibri" w:hAnsi="Calibri"/>
          <w:b w:val="0"/>
          <w:i w:val="0"/>
          <w:color w:val="0B2A4A"/>
          <w:sz w:val="24"/>
        </w:rPr>
        <w:t xml:space="preserve">☐  </w:t>
      </w:r>
      <w:r>
        <w:rPr>
          <w:rFonts w:ascii="Calibri" w:hAnsi="Calibri"/>
          <w:b w:val="0"/>
          <w:i w:val="0"/>
          <w:color w:val="1C1C1C"/>
          <w:sz w:val="21"/>
        </w:rPr>
        <w:t>Place into secure, monitored storage within the container.</w:t>
      </w:r>
    </w:p>
    <w:p>
      <w:pPr>
        <w:keepNext/>
        <w:spacing w:before="140" w:after="60"/>
      </w:pPr>
      <w:r>
        <w:rPr>
          <w:rFonts w:ascii="Calibri" w:hAnsi="Calibri"/>
          <w:b/>
          <w:i w:val="0"/>
          <w:color w:val="0B2A4A"/>
          <w:sz w:val="22"/>
        </w:rPr>
        <w:t>Task 3 - In-container handling and staging</w:t>
      </w:r>
    </w:p>
    <w:p>
      <w:pPr>
        <w:spacing w:after="60"/>
        <w:ind w:left="360"/>
      </w:pPr>
      <w:r>
        <w:rPr>
          <w:rFonts w:ascii="Calibri" w:hAnsi="Calibri"/>
          <w:b w:val="0"/>
          <w:i w:val="0"/>
          <w:color w:val="0B2A4A"/>
          <w:sz w:val="24"/>
        </w:rPr>
        <w:t xml:space="preserve">☐  </w:t>
      </w:r>
      <w:r>
        <w:rPr>
          <w:rFonts w:ascii="Calibri" w:hAnsi="Calibri"/>
          <w:b w:val="0"/>
          <w:i w:val="0"/>
          <w:color w:val="1C1C1C"/>
          <w:sz w:val="21"/>
        </w:rPr>
        <w:t>Handle payloads per customer and hazard requirements; maintain environmental conditions.</w:t>
      </w:r>
    </w:p>
    <w:p>
      <w:pPr>
        <w:spacing w:after="60"/>
        <w:ind w:left="360"/>
      </w:pPr>
      <w:r>
        <w:rPr>
          <w:rFonts w:ascii="Calibri" w:hAnsi="Calibri"/>
          <w:b w:val="0"/>
          <w:i w:val="0"/>
          <w:color w:val="0B2A4A"/>
          <w:sz w:val="24"/>
        </w:rPr>
        <w:t xml:space="preserve">☐  </w:t>
      </w:r>
      <w:r>
        <w:rPr>
          <w:rFonts w:ascii="Calibri" w:hAnsi="Calibri"/>
          <w:b w:val="0"/>
          <w:i w:val="0"/>
          <w:color w:val="1C1C1C"/>
          <w:sz w:val="21"/>
        </w:rPr>
        <w:t>Restrict access to authorized, trained personnel; log all handling.</w:t>
      </w:r>
    </w:p>
    <w:p>
      <w:pPr>
        <w:spacing w:after="60"/>
        <w:ind w:left="360"/>
      </w:pPr>
      <w:r>
        <w:rPr>
          <w:rFonts w:ascii="Calibri" w:hAnsi="Calibri"/>
          <w:b w:val="0"/>
          <w:i w:val="0"/>
          <w:color w:val="0B2A4A"/>
          <w:sz w:val="24"/>
        </w:rPr>
        <w:t xml:space="preserve">☐  </w:t>
      </w:r>
      <w:r>
        <w:rPr>
          <w:rFonts w:ascii="Calibri" w:hAnsi="Calibri"/>
          <w:b w:val="0"/>
          <w:i w:val="0"/>
          <w:color w:val="1C1C1C"/>
          <w:sz w:val="21"/>
        </w:rPr>
        <w:t>Stage for outbound movement per schedule.</w:t>
      </w:r>
    </w:p>
    <w:p>
      <w:pPr>
        <w:keepNext/>
        <w:spacing w:before="140" w:after="60"/>
      </w:pPr>
      <w:r>
        <w:rPr>
          <w:rFonts w:ascii="Calibri" w:hAnsi="Calibri"/>
          <w:b/>
          <w:i w:val="0"/>
          <w:color w:val="0B2A4A"/>
          <w:sz w:val="22"/>
        </w:rPr>
        <w:t>Task 4 - Outbound dispatch (loading payloads out)</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outbound authorization and export documentation/license as applicable.</w:t>
      </w:r>
    </w:p>
    <w:p>
      <w:pPr>
        <w:spacing w:after="60"/>
        <w:ind w:left="360"/>
      </w:pPr>
      <w:r>
        <w:rPr>
          <w:rFonts w:ascii="Calibri" w:hAnsi="Calibri"/>
          <w:b w:val="0"/>
          <w:i w:val="0"/>
          <w:color w:val="0B2A4A"/>
          <w:sz w:val="24"/>
        </w:rPr>
        <w:t xml:space="preserve">☐  </w:t>
      </w:r>
      <w:r>
        <w:rPr>
          <w:rFonts w:ascii="Calibri" w:hAnsi="Calibri"/>
          <w:b w:val="0"/>
          <w:i w:val="0"/>
          <w:color w:val="1C1C1C"/>
          <w:sz w:val="21"/>
        </w:rPr>
        <w:t>Package, seal, and label per requirements; update the chain-of-custody log.</w:t>
      </w:r>
    </w:p>
    <w:p>
      <w:pPr>
        <w:spacing w:after="60"/>
        <w:ind w:left="360"/>
      </w:pPr>
      <w:r>
        <w:rPr>
          <w:rFonts w:ascii="Calibri" w:hAnsi="Calibri"/>
          <w:b w:val="0"/>
          <w:i w:val="0"/>
          <w:color w:val="0B2A4A"/>
          <w:sz w:val="24"/>
        </w:rPr>
        <w:t xml:space="preserve">☐  </w:t>
      </w:r>
      <w:r>
        <w:rPr>
          <w:rFonts w:ascii="Calibri" w:hAnsi="Calibri"/>
          <w:b w:val="0"/>
          <w:i w:val="0"/>
          <w:color w:val="1C1C1C"/>
          <w:sz w:val="21"/>
        </w:rPr>
        <w:t>Complete customs/FTZ documentation for removal.</w:t>
      </w:r>
    </w:p>
    <w:p>
      <w:pPr>
        <w:spacing w:after="60"/>
        <w:ind w:left="360"/>
      </w:pPr>
      <w:r>
        <w:rPr>
          <w:rFonts w:ascii="Calibri" w:hAnsi="Calibri"/>
          <w:b w:val="0"/>
          <w:i w:val="0"/>
          <w:color w:val="0B2A4A"/>
          <w:sz w:val="24"/>
        </w:rPr>
        <w:t xml:space="preserve">☐  </w:t>
      </w:r>
      <w:r>
        <w:rPr>
          <w:rFonts w:ascii="Calibri" w:hAnsi="Calibri"/>
          <w:b w:val="0"/>
          <w:i w:val="0"/>
          <w:color w:val="1C1C1C"/>
          <w:sz w:val="21"/>
        </w:rPr>
        <w:t>Hand off to the carrier and record the transfer and seal numbers.</w:t>
      </w:r>
    </w:p>
    <w:p>
      <w:pPr>
        <w:keepNext/>
        <w:spacing w:before="140" w:after="60"/>
      </w:pPr>
      <w:r>
        <w:rPr>
          <w:rFonts w:ascii="Calibri" w:hAnsi="Calibri"/>
          <w:b/>
          <w:i w:val="0"/>
          <w:color w:val="0B2A4A"/>
          <w:sz w:val="22"/>
        </w:rPr>
        <w:t>Task 5 - Final return processing</w:t>
      </w:r>
    </w:p>
    <w:p>
      <w:pPr>
        <w:spacing w:after="60"/>
        <w:ind w:left="360"/>
      </w:pPr>
      <w:r>
        <w:rPr>
          <w:rFonts w:ascii="Calibri" w:hAnsi="Calibri"/>
          <w:b w:val="0"/>
          <w:i w:val="0"/>
          <w:color w:val="0B2A4A"/>
          <w:sz w:val="24"/>
        </w:rPr>
        <w:t xml:space="preserve">☐  </w:t>
      </w:r>
      <w:r>
        <w:rPr>
          <w:rFonts w:ascii="Calibri" w:hAnsi="Calibri"/>
          <w:b w:val="0"/>
          <w:i w:val="0"/>
          <w:color w:val="1C1C1C"/>
          <w:sz w:val="21"/>
        </w:rPr>
        <w:t>Receive the returned payload; verify condition, seals, and disposition against records.</w:t>
      </w:r>
    </w:p>
    <w:p>
      <w:pPr>
        <w:spacing w:after="60"/>
        <w:ind w:left="360"/>
      </w:pPr>
      <w:r>
        <w:rPr>
          <w:rFonts w:ascii="Calibri" w:hAnsi="Calibri"/>
          <w:b w:val="0"/>
          <w:i w:val="0"/>
          <w:color w:val="0B2A4A"/>
          <w:sz w:val="24"/>
        </w:rPr>
        <w:t xml:space="preserve">☐  </w:t>
      </w:r>
      <w:r>
        <w:rPr>
          <w:rFonts w:ascii="Calibri" w:hAnsi="Calibri"/>
          <w:b w:val="0"/>
          <w:i w:val="0"/>
          <w:color w:val="1C1C1C"/>
          <w:sz w:val="21"/>
        </w:rPr>
        <w:t>Reconcile customs/FTZ status for the return; complete required documentation.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Release/return to the customer or dispose per instructions; close the chain-of-custody record.</w:t>
      </w:r>
    </w:p>
    <w:p>
      <w:pPr>
        <w:keepNext/>
        <w:spacing w:before="140" w:after="60"/>
      </w:pPr>
      <w:r>
        <w:rPr>
          <w:rFonts w:ascii="Calibri" w:hAnsi="Calibri"/>
          <w:b/>
          <w:i w:val="0"/>
          <w:color w:val="0B2A4A"/>
          <w:sz w:val="22"/>
        </w:rPr>
        <w:t>Task 6 - Records, legal framework, and support-cost accounting</w:t>
      </w:r>
    </w:p>
    <w:p>
      <w:pPr>
        <w:spacing w:after="60"/>
        <w:ind w:left="360"/>
      </w:pPr>
      <w:r>
        <w:rPr>
          <w:rFonts w:ascii="Calibri" w:hAnsi="Calibri"/>
          <w:b w:val="0"/>
          <w:i w:val="0"/>
          <w:color w:val="0B2A4A"/>
          <w:sz w:val="24"/>
        </w:rPr>
        <w:t xml:space="preserve">☐  </w:t>
      </w:r>
      <w:r>
        <w:rPr>
          <w:rFonts w:ascii="Calibri" w:hAnsi="Calibri"/>
          <w:b w:val="0"/>
          <w:i w:val="0"/>
          <w:color w:val="1C1C1C"/>
          <w:sz w:val="21"/>
        </w:rPr>
        <w:t>Retain customs, export-control, custody, and handling records per the records schedule.</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activity complied with the customs/FTZ and ITAR/EAR framework; note any exceptions to the Empowered Official.</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support-cost items for the activity - e.g., crane/rigging and receiving labor, security monitoring, payload handling/staging, customs broker/FTZ fees, storage, and consumables - to the ITZ support-cost schedule (rates [TBD]).</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Payload Operations / Exo   ·   Reference documents: DHS CRADA [ref]; Butte ITZ MOA; ITAR 22 CFR 120-130; EAR 15 CFR 730-774; CBP / Foreign-Trade Zone regulations (19 CFR Part 146); EXOS-ITZ-001; EXOS-ITZ-002. Empowered Official: John Quinn; ITAR reviewer: Denise Shirey.</w:t>
      </w:r>
    </w:p>
    <w:sectPr w:rsidR="00FC693F" w:rsidRPr="0006063C" w:rsidSect="00034616">
      <w:headerReference w:type="default" r:id="rId9"/>
      <w:footerReference w:type="default" r:id="rId10"/>
      <w:pgSz w:w="12240" w:h="15840"/>
      <w:pgMar w:top="720" w:right="1296" w:bottom="792" w:left="1296"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b w:val="0"/>
        <w:i w:val="0"/>
        <w:color w:val="606A78"/>
        <w:sz w:val="16"/>
      </w:rPr>
      <w:t xml:space="preserve">EXOS-ITZ-003-0 Rev 0  ·  Controlled copy — valid for today's date only  ·  Process &amp; Procedure Control per EXOS-US-QMS-001  ·  Page </w:t>
    </w:r>
    <w:r>
      <w:fldChar w:fldCharType="begin"/>
    </w:r>
    <w:r>
      <w:rPr>
        <w:rFonts w:ascii="Calibri" w:hAnsi="Calibri"/>
        <w:color w:val="606A78"/>
        <w:sz w:val="16"/>
      </w:rPr>
      <w:instrText xml:space="preserve"> PAGE </w:instrText>
    </w:r>
    <w:r>
      <w:fldChar w:fldCharType="end"/>
    </w:r>
  </w:p>
  <w:p>
    <w:pPr>
      <w:spacing w:before="60" w:after="0"/>
      <w:jc w:val="center"/>
    </w:pPr>
    <w:r>
      <w:drawing>
        <wp:inline xmlns:a="http://schemas.openxmlformats.org/drawingml/2006/main" xmlns:pic="http://schemas.openxmlformats.org/drawingml/2006/picture">
          <wp:extent cx="4572000" cy="750679"/>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4572000" cy="750679"/>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4572000" cy="9440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