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&amp; debt relief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debts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1.0% EAI units</w:t>
            </w:r>
            <w:r>
              <w:br/>
            </w:r>
            <w:r>
              <w:rPr>
                <w:sz w:val="16"/>
              </w:rPr>
              <w:t>(Rule 504,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(① + equity)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earn-out, valued at 409A</w:t>
            </w:r>
            <w:r>
              <w:br/>
            </w:r>
            <w:r>
              <w:rPr>
                <w:sz w:val="16"/>
              </w:rPr>
              <w:t>(on top of 1.0%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$424K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$848K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earn-out 0.0%/0.25%/0.5% FD; lockup same as Exos principals.</w:t>
            </w:r>
            <w:r>
              <w:br/>
            </w:r>
            <w:r>
              <w:rPr>
                <w:sz w:val="16"/>
              </w:rPr>
              <w:t>At listing ($250M/$300M): $0/$625K/$1.5M. Total Exos equity: 1.0%/1.25%/1.5%.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all stock at 409A)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$7,007K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$8,582K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$10,157K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IF HELD: all Exos stock projected</w:t>
            </w:r>
            <w:r>
              <w:br/>
            </w:r>
            <w:r>
              <w:rPr>
                <w:i/>
                <w:color w:val="6B7280"/>
                <w:sz w:val="16"/>
              </w:rPr>
              <w:t>in FY2031 (replaces 409A stock values)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$14.2M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$17.1M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Total stake 1.0/1.25/1.5% → ~0.70/0.875/1.05% after</w:t>
            </w:r>
            <w:r>
              <w:br/>
            </w:r>
            <w:r>
              <w:rPr>
                <w:i/>
                <w:color w:val="6B7280"/>
                <w:sz w:val="16"/>
              </w:rPr>
              <w:t>~30% dilution × ~$1.63B FY31 EV (16× v12 EBITDA).</w:t>
            </w:r>
            <w:r>
              <w:br/>
            </w:r>
            <w:r>
              <w:rPr>
                <w:i/>
                <w:color w:val="6B7280"/>
                <w:sz w:val="16"/>
              </w:rPr>
              <w:t>Projection only; on SSLC-actuals case ~$1.2–1.8M.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④ TOTAL IF STOCK HELD TO 2031</w:t>
            </w:r>
            <w:r>
              <w:br/>
            </w:r>
            <w:r>
              <w:rPr>
                <w:i/>
                <w:color w:val="6B7280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$16.7M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$20.5M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$24.0M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Alternative to ③, NOT added to it. Forward-looking</w:t>
            </w:r>
            <w:r>
              <w:br/>
            </w:r>
            <w:r>
              <w:rPr>
                <w:i/>
                <w:color w:val="6B7280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Why this structure: SSLC holders receive real Exos equity at close (1.0% EAI units, 409A-valued ~$1.7M, issued as part of Exos's Rule 504 offering) — not only contingent upside. It aligns them with Exos immediately. The earn-out stock stays 0.0–0.5%, so total equity is 1.0–1.5%.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·  Full model: EXOS_SSLC_OptionB_Acquisition_Model_2026-10-07.xlsx → 'Total Compensation' sheet  ·  IM program continuity: Exos-SSLC continues the Intuitive Machines contract with no delivery interruption.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$5,057,000 base at close ($2.51M cash + $60K costs + $790K Exos stake credit + ~$1.70M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504 cap: ~$1.7M counts toward the Rule 504 $10M rolling 12-month cap; confirm remaining capacity. Rule 504 is U.S.-only; EAI units in the Japan round are Reg S — the two must remain distinct. See model → 'EAI Lockup &amp; Liquidity' sheet for full detail.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4.  EAI Unit Lockup &amp; Liquidity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Restricted securities — Rule 504 Reg D, restrictive legend; not freely tradeable at issuance. Same lockup as Exos principals. Rule 504 ref: https://www.sec.gov/resources-small-businesses/exempt-offerings/exemption-limited-offerings-not-exceeding-10-million-rule-504-regulation-d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Rule 144 resale.  </w:t>
      </w:r>
      <w:r>
        <w:t>Holding period 6 months (reporting issuer) or 1 year (non-reporting). Exos is currently non-reporting; 6-month path opens only after RTO. 17 CFR 230.144(d): https://www.ecfr.gov/current/title-17/chapter-II/part-230/section-230.144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RTO structure — preferred at close.  </w:t>
      </w:r>
      <w:r>
        <w:t>At RTO close, founders/legacy holders receive unregistered non-voting non-convertible preferred (avoids NASDAQ Rule 5635). Converts to common + becomes liquid only after: (i) shareholder vote (proxy ~30 days post-close) and (ii) effective resale registration (S-1/S-3). EAI units follow this same path. [Board Brief 2026-09-04:16; Board Questions 2026-09-08:36,44]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c>
          <w:tcPr>
            <w:tcW w:type="dxa" w:w="3744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616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Target / Status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Board acceptance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D+0 — units committed; not yet issued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Financing close — units issued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 Q1 FY27; 1-yr Rule 144 clock starts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Targeted RTO close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~6 months post-financing (targeted, not assured)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Conversion vote + resale reg. effective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~30–90 days post-RTO; preferred → common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Rule 144 eligibility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6-mo (after reporting); 1-yr if non-reporting at issuance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ALL DATES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Targeted, not assured. RTO may not close.</w:t>
            </w:r>
          </w:p>
        </w:tc>
      </w:tr>
    </w:tbl>
    <w:p>
      <w:pPr>
        <w:spacing w:after="60" w:before="0"/>
      </w:pP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5.  Projected Post-RTO Value  (Projection — Not a Promise)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Forward-looking projection — management assumptions (RTO completion, listing valuation, ~30% dilution). Not a guarantee; actual results may differ. RTO may not close. SEC Rule 10b-5, 17 CFR 240.10b-5 (https://www.ecfr.gov/current/title-17/chapter-II/part-240/section-240.10b-5) antifraud rules apply. 409A issuance value: ~$1.70M. Up-front 1.0% EAI only; earn-out column is additional, at listing, pre-dilution.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584"/>
        <w:gridCol w:w="1872"/>
        <w:gridCol w:w="2015"/>
      </w:tblGrid>
      <w:tr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RTO MEV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1.0% pre-dil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1.0% post-dil</w:t>
              <w:br/>
              <w:t>(~30% dil)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+ earn-out at listing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Low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$2.00M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$1.40M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$0 (0.0%)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$250M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$2.50M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$1.75M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+$625K (0.25% @ $250M)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High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$300M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$3.00M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$2.10M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+$1.5M (0.50% @ $300M)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