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 Section 3 (optional §3 of the call): Exos is not proposing third-party payload processing bays; MCMS-exo3 can schedule bays that others build.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an FAA-licensed reusable suborbital launch operator providing flight-test services for space, defense, research and commercial payloads [10], with payload recovery for post-flight inspection, analysis and iteration [14]. Its latest FAA-licensed vehicle, BLK3, is preparing for flight in early 2027.</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Initial facilities are expeditionary and modular — no permanent construction until a launch site is assigned. Design and construction of any permanent facility would go through a design-build contractor; facility capital would come from Exos operating capital and/or a developer or financing partner under a build-to-suit or ground-lease structure, gated on launch-site assignment.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Containerized vehicle processing</w:t>
            </w:r>
          </w:p>
        </w:tc>
        <w:tc>
          <w:tcPr>
            <w:tcW w:type="dxa" w:w="5040"/>
          </w:tcPr>
          <w:p>
            <w:pPr>
              <w:spacing w:after="0"/>
            </w:pPr>
            <w:r>
              <w:rPr>
                <w:rFonts w:ascii="Calibri" w:hAnsi="Calibri"/>
                <w:b w:val="0"/>
                <w:i w:val="0"/>
                <w:color w:val="1A1A1A"/>
                <w:sz w:val="18"/>
              </w:rPr>
              <w:t>Modular/containerized receiving, inspection and basic turnaround for recovered vehicles; scalable to demand</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3.0 TARGETED PAYLOAD PROCESSING CAPABILITIES (Optional)</w:t>
      </w:r>
    </w:p>
    <w:p>
      <w:pPr>
        <w:spacing w:before="0" w:after="100"/>
        <w:jc w:val="both"/>
      </w:pPr>
      <w:r>
        <w:rPr>
          <w:rFonts w:ascii="Calibri" w:hAnsi="Calibri"/>
          <w:b w:val="0"/>
          <w:i w:val="0"/>
          <w:color w:val="1A1A1A"/>
          <w:sz w:val="21"/>
        </w:rPr>
        <w:t xml:space="preserve">Exos answers this optional section narrowly: </w:t>
      </w:r>
      <w:r>
        <w:rPr>
          <w:rFonts w:ascii="Calibri" w:hAnsi="Calibri"/>
          <w:b/>
          <w:i w:val="0"/>
          <w:color w:val="1A1A1A"/>
          <w:sz w:val="21"/>
        </w:rPr>
        <w:t>Exos is not proposing to build third-party payload processing bays at the MDZ.</w:t>
      </w:r>
      <w:r>
        <w:rPr>
          <w:rFonts w:ascii="Calibri" w:hAnsi="Calibri"/>
          <w:b w:val="0"/>
          <w:i w:val="0"/>
          <w:color w:val="1A1A1A"/>
          <w:sz w:val="21"/>
        </w:rPr>
        <w:t xml:space="preserve"> The Recovery &amp; Turnaround Zone is designed for reusable-vehicle recovery, not fairing or 5-meter-class payload processing. MCMS-exo3 can schedule bay time in processing facilities that others build or already operate at VSFB, providing scheduling and chain-of-custody services without Exos constructing the bays.</w:t>
      </w:r>
    </w:p>
    <w:p>
      <w:pPr>
        <w:keepNext/>
        <w:spacing w:before="140" w:after="60"/>
      </w:pPr>
      <w:r>
        <w:rPr>
          <w:rFonts w:ascii="Calibri" w:hAnsi="Calibri"/>
          <w:b/>
          <w:i w:val="0"/>
          <w:color w:val="0A3D7C"/>
          <w:sz w:val="22"/>
        </w:rPr>
        <w:t>3.1 Facility specifications for 5-meter-class payloads and next-generation fairings</w:t>
      </w:r>
    </w:p>
    <w:p>
      <w:pPr>
        <w:spacing w:before="0" w:after="100"/>
        <w:jc w:val="both"/>
      </w:pPr>
      <w:r>
        <w:rPr>
          <w:rFonts w:ascii="Calibri" w:hAnsi="Calibri"/>
          <w:b w:val="0"/>
          <w:i w:val="0"/>
          <w:color w:val="1A1A1A"/>
          <w:sz w:val="21"/>
        </w:rPr>
        <w:t>Not applicable to this recovery-zone request. Exos Phase 1 facilities provide basic post-recovery inspection and turnaround capability for Exos vehicles and payloads (reusable vehicle scale). Multi-user processing bays are not part of this MDZ request.</w:t>
      </w:r>
    </w:p>
    <w:p>
      <w:pPr>
        <w:keepNext/>
        <w:spacing w:before="140" w:after="60"/>
      </w:pPr>
      <w:r>
        <w:rPr>
          <w:rFonts w:ascii="Calibri" w:hAnsi="Calibri"/>
          <w:b/>
          <w:i w:val="0"/>
          <w:color w:val="0A3D7C"/>
          <w:sz w:val="22"/>
        </w:rPr>
        <w:t>3.2 Projected annual processing throughput</w:t>
      </w:r>
    </w:p>
    <w:p>
      <w:pPr>
        <w:spacing w:before="0" w:after="100"/>
        <w:jc w:val="both"/>
      </w:pPr>
      <w:r>
        <w:rPr>
          <w:rFonts w:ascii="Calibri" w:hAnsi="Calibri"/>
          <w:b w:val="0"/>
          <w:i w:val="0"/>
          <w:color w:val="1A1A1A"/>
          <w:sz w:val="21"/>
        </w:rPr>
        <w:t>Recovery and turnaround throughput will be scaled to Exos manifest cadence once a launch site is assigned. Numeric projections will be provided with final design and utility coordination. As a shared zone, throughput can grow to include recovery events for other reusable vehicles on the Western Range, with SLD 30 and operator coordination.</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Subject to approvals; no hard date proposed</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Permanent facilities and/or expansion to serve additional operators; gated on demand, financing,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current vehicle — FAA-licensed,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FAA-licensed reusable suborbital operator from Spaceport America, NM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Latest FAA-licensed vehicle; preparing for first flight, early 2027 at Spaceport America;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5</w:t>
            </w:r>
          </w:p>
        </w:tc>
      </w:tr>
      <w:tr>
        <w:tc>
          <w:tcPr>
            <w:tcW w:type="dxa" w:w="2304"/>
          </w:tcPr>
          <w:p>
            <w:pPr>
              <w:spacing w:after="0"/>
            </w:pPr>
            <w:r>
              <w:rPr>
                <w:rFonts w:ascii="Calibri" w:hAnsi="Calibri"/>
                <w:b w:val="0"/>
                <w:i w:val="0"/>
                <w:color w:val="1A1A1A"/>
                <w:sz w:val="18"/>
              </w:rPr>
              <w:t>Exh. A 3.1 / Call §3.2</w:t>
            </w:r>
          </w:p>
        </w:tc>
        <w:tc>
          <w:tcPr>
            <w:tcW w:type="dxa" w:w="4176"/>
          </w:tcPr>
          <w:p>
            <w:pPr>
              <w:spacing w:after="0"/>
            </w:pPr>
            <w:r>
              <w:rPr>
                <w:rFonts w:ascii="Calibri" w:hAnsi="Calibri"/>
                <w:b w:val="0"/>
                <w:i w:val="0"/>
                <w:color w:val="1A1A1A"/>
                <w:sz w:val="18"/>
              </w:rPr>
              <w:t>5-m-class specs: Exos not proposing third-party processing bays; answered narrowly</w:t>
            </w:r>
          </w:p>
        </w:tc>
        <w:tc>
          <w:tcPr>
            <w:tcW w:type="dxa" w:w="1728"/>
          </w:tcPr>
          <w:p>
            <w:pPr>
              <w:spacing w:after="0"/>
            </w:pPr>
            <w:r>
              <w:rPr>
                <w:rFonts w:ascii="Calibri" w:hAnsi="Calibri"/>
                <w:b w:val="0"/>
                <w:i w:val="0"/>
                <w:color w:val="1A1A1A"/>
                <w:sz w:val="18"/>
              </w:rPr>
              <w:t>3.0</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3.2 / Call §3.2</w:t>
            </w:r>
          </w:p>
        </w:tc>
        <w:tc>
          <w:tcPr>
            <w:tcW w:type="dxa" w:w="4176"/>
          </w:tcPr>
          <w:p>
            <w:pPr>
              <w:spacing w:after="0"/>
            </w:pPr>
            <w:r>
              <w:rPr>
                <w:rFonts w:ascii="Calibri" w:hAnsi="Calibri"/>
                <w:b w:val="0"/>
                <w:i w:val="0"/>
                <w:color w:val="1A1A1A"/>
                <w:sz w:val="18"/>
              </w:rPr>
              <w:t>Projected annual throughput (recovery-event cadence; no third-party bays)</w:t>
            </w:r>
          </w:p>
        </w:tc>
        <w:tc>
          <w:tcPr>
            <w:tcW w:type="dxa" w:w="1728"/>
          </w:tcPr>
          <w:p>
            <w:pPr>
              <w:spacing w:after="0"/>
            </w:pPr>
            <w:r>
              <w:rPr>
                <w:rFonts w:ascii="Calibri" w:hAnsi="Calibri"/>
                <w:b w:val="0"/>
                <w:i w:val="0"/>
                <w:color w:val="1A1A1A"/>
                <w:sz w:val="18"/>
              </w:rPr>
              <w:t>3.2</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no hard date</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15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 at a Glance: FAA-licensed reusable suborbital launch operator; payload recovery for post-flight inspection),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