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9,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 w:val="0"/>
          <w:sz w:val="20"/>
        </w:rPr>
        <w:t>The Exos offer delivers liquidity, debt relief, and equity upside — without requiring any additional capital call from current SSLC shareholders.</w:t>
      </w:r>
    </w:p>
    <w:p>
      <w:pPr>
        <w:spacing w:after="80" w:before="0"/>
      </w:pPr>
      <w:r>
        <w:rPr>
          <w:b w:val="0"/>
          <w:i/>
          <w:color w:val="2E75B6"/>
          <w:sz w:val="19"/>
        </w:rPr>
        <w:t>The up-front price reflects what the numbers support today. The earn-outs are how that value grows: as goals are met — IM tank deliveries, revenue milestones and the Exos listing — SSLC holders share directly in the upside.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~Q1 FY27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equity — 0.5% EAI units</w:t>
            </w:r>
            <w:r>
              <w:br/>
            </w:r>
            <w:r>
              <w:rPr>
                <w:sz w:val="16"/>
              </w:rPr>
              <w:t>at 409A (~$170M)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$850K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$850K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$850K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Committed at SSLC board acceptance;</w:t>
            </w:r>
            <w:r>
              <w:br/>
            </w:r>
            <w:r>
              <w:rPr>
                <w:sz w:val="16"/>
              </w:rPr>
              <w:t>issued at financing 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Subtotal: funding at close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$5,210K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$5,210K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$5,210K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 (5 yrs, 5%/yr,</w:t>
            </w:r>
            <w:r>
              <w:br/>
            </w:r>
            <w:r>
              <w:rPr>
                <w:sz w:val="16"/>
              </w:rPr>
              <w:t>cap $300K/yr)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FY27–FY31; low 3%/base 5%/high</w:t>
            </w:r>
            <w:r>
              <w:br/>
            </w:r>
            <w:r>
              <w:rPr>
                <w:sz w:val="16"/>
              </w:rPr>
              <w:t>7% × IM rev; $300K/yr cap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contract execution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BLK3 tank qualification</w:t>
            </w:r>
            <w:r>
              <w:br/>
            </w:r>
            <w:r>
              <w:rPr>
                <w:sz w:val="16"/>
              </w:rPr>
              <w:t>complete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Exos BLK3 tank cert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  <w:r>
              <w:br/>
            </w:r>
            <w:r>
              <w:rPr>
                <w:sz w:val="16"/>
              </w:rPr>
              <w:t>(on top of 0.5% EAI up-front)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$625K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~FY28; earn-out 0.0%/0.25%/0.5% FD; lockup same as Exos principals.</w:t>
            </w:r>
            <w:r>
              <w:br/>
            </w:r>
            <w:r>
              <w:rPr>
                <w:sz w:val="16"/>
              </w:rPr>
              <w:t>At 409A ($170M): $0/$425K/$850K. Total Exos equity: 0.5%/0.75%/1.0%.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TOTAL OFFER VALUE (5-yr)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$6,160K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$7,735K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$9,310K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</w:t>
            </w:r>
          </w:p>
        </w:tc>
      </w:tr>
      <w:tr>
        <w:tc>
          <w:tcPr>
            <w:tcW w:type="dxa" w:w="3240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Memo: Exos stock if held to FY31</w:t>
            </w:r>
            <w:r>
              <w:br/>
            </w:r>
            <w:r>
              <w:rPr>
                <w:i/>
                <w:color w:val="6B7280"/>
                <w:sz w:val="16"/>
              </w:rPr>
              <w:t>(not additive to total above)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$5.7M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$8.5M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$11.4M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16× EV/EBITDA; ~30% dilution;</w:t>
            </w:r>
            <w:r>
              <w:br/>
            </w:r>
            <w:r>
              <w:rPr>
                <w:i/>
                <w:color w:val="6B7280"/>
                <w:sz w:val="16"/>
              </w:rPr>
              <w:t>total stake 0.5/0.75/1.0% (EAI+earn-out);</w:t>
            </w:r>
            <w:r>
              <w:br/>
            </w:r>
            <w:r>
              <w:rPr>
                <w:i/>
                <w:color w:val="6B7280"/>
                <w:sz w:val="16"/>
              </w:rPr>
              <w:t>mgmt assumption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Why this structure: SSLC holders receive real Exos equity at close (409A-valued, ~$850K) — not only contingent upside. It aligns them with Exos immediately. The earn-out stock is halved (0.0–0.5%), reducing Exos dilution risk.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additional capital calls  </w:t>
      </w:r>
      <w:r>
        <w:t>Once closed, SSLC's standalone cash burn stops entirely.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IM program continuity  </w:t>
      </w:r>
      <w:r>
        <w:t>Exos-SSLC continues the Intuitive Machines contract with no delivery interruption.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2.  Why the Growth Trajectory Requires Exos Capital</w:t>
      </w:r>
    </w:p>
    <w:p>
      <w:pPr>
        <w:spacing w:after="60" w:before="0"/>
      </w:pPr>
      <w:r>
        <w:rPr>
          <w:b w:val="0"/>
          <w:i w:val="0"/>
          <w:sz w:val="20"/>
        </w:rPr>
        <w:t>The bottleneck is not the technology or the IM demand — it is working capital.  SSLC's most recent quarter (FY27 Q1) came in at $713K in revenue.  Hitting $5.1M for FY27 requires averaging $1.46M per quarter in Q2–Q4 — approximately 2.05× that pace — starting immediately.  That doubling is not achievable on SSLC's current $198K cash balance.</w:t>
      </w:r>
    </w:p>
    <w:p>
      <w:pPr>
        <w:spacing w:after="40" w:before="60"/>
      </w:pPr>
      <w:r>
        <w:rPr>
          <w:b/>
          <w:i w:val="0"/>
          <w:sz w:val="20"/>
        </w:rPr>
        <w:t>Standalone constraints (SSLC's own numbers):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Cash position  </w:t>
      </w:r>
      <w:r>
        <w:t>$198K at October 2, 2026 — roughly one month of operating burn.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Working capital gap  </w:t>
      </w:r>
      <w:r>
        <w:t>$300K–$700K needed to maintain delivery commitments and service new IM orders — before SSLC can ramp to the $5.1M/year target run rate.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Operating history  </w:t>
      </w:r>
      <w:r>
        <w:t>FY26 operating loss: −$416K. No self-funding path to production scale.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He-tank rework  </w:t>
      </w:r>
      <w:r>
        <w:t>Rev3 GHe tank 4,400 psi proof issue unresolved (MC #3056). Remediation cost ~$175K to COPV ($300K gap). Resolves cleanly as intercompany under Exos.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capex capacity  </w:t>
      </w:r>
      <w:r>
        <w:t>Production-scale equipment and headcount additions are not fundable from SSLC's cash position. Growth is capped at current run-rate without outside capital.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The With-vs-Without comparison, year-by-year CAGR figures, and cumulative revenue gap are in the model spreadsheet: EXOS_SSLC_OptionB_Acquisition_Model_2026-10-07.xlsx, sheet 'With vs Without Exos Capital'.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3.  Total Compensation — 5-Year View (FY27–FY31)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See chart: SSLC_OptionB_Total_Compensation_5yr_2026-10-07.png  |  Full model: EXOS_SSLC_OptionB_Acquisition_Model_2026-10-07.xlsx → 'Total Compensation' sheet.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930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LC_OptionB_Total_Compensation_5yr_2026-10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9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4.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 (non-exclusive → exclusive upon Exos financing agreement)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$4,210,000 base at close ($2.51M cash + $60K costs + $790K Exos stake credit + ~$850K EAI equity at 409A)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while financing works in good faith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Disinterested directors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John Quinn abstains from SSLC board vote; sends as Exos CEO (Cal. Corp. Code §310)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Fairness opinion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Eqvista engaged 8/14/2026; agreement still unsigned (held ~1 month)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