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left"/>
      </w:pPr>
      <w:r>
        <w:rPr>
          <w:rFonts w:ascii="Calibri" w:hAnsi="Calibri"/>
          <w:b/>
          <w:i w:val="0"/>
          <w:color w:val="0A3D7C"/>
          <w:sz w:val="26"/>
        </w:rPr>
        <w:t>EXOS AEROSPACE SYSTEMS &amp; TECHNOLOGIES, INC.</w:t>
      </w:r>
    </w:p>
    <w:p>
      <w:pPr>
        <w:spacing w:after="20" w:before="0"/>
        <w:jc w:val="left"/>
      </w:pPr>
      <w:r>
        <w:rPr>
          <w:rFonts w:ascii="Calibri" w:hAnsi="Calibri"/>
          <w:b/>
          <w:i w:val="0"/>
          <w:color w:val="1A1A1A"/>
          <w:sz w:val="24"/>
        </w:rPr>
        <w:t>NIH STTR Phase I — Research Plan Narrative (DRAFT for internal review)</w:t>
      </w:r>
    </w:p>
    <w:p>
      <w:pPr>
        <w:spacing w:after="120" w:before="0"/>
        <w:jc w:val="left"/>
      </w:pPr>
      <w:r>
        <w:rPr>
          <w:rFonts w:ascii="Calibri" w:hAnsi="Calibri"/>
          <w:b w:val="0"/>
          <w:i/>
          <w:color w:val="1A1A1A"/>
          <w:sz w:val="22"/>
        </w:rPr>
        <w:t>A Reusable Suborbital Microgravity Platform for Onset-Kinetics Screening of Kidney Microphysiological Systems Before ISS Commitment</w:t>
      </w:r>
    </w:p>
    <w:p>
      <w:pPr>
        <w:spacing w:after="40"/>
      </w:pPr>
      <w:r>
        <w:rPr>
          <w:rFonts w:ascii="Calibri" w:hAnsi="Calibri"/>
          <w:b/>
          <w:color w:val="1A1A1A"/>
          <w:sz w:val="21"/>
        </w:rPr>
        <w:t xml:space="preserve">Funding opportunity: </w:t>
      </w:r>
      <w:r>
        <w:rPr>
          <w:rFonts w:ascii="Calibri" w:hAnsi="Calibri"/>
          <w:b w:val="0"/>
          <w:color w:val="1A1A1A"/>
          <w:sz w:val="21"/>
        </w:rPr>
        <w:t xml:space="preserve">PA-27-102 (Omnibus STTR, R41/R42) — due September 8, 2026.   </w:t>
      </w:r>
      <w:r>
        <w:rPr>
          <w:rFonts w:ascii="Calibri" w:hAnsi="Calibri"/>
          <w:b/>
          <w:color w:val="1A1A1A"/>
          <w:sz w:val="21"/>
        </w:rPr>
        <w:t xml:space="preserve">Awarding component (proposed): </w:t>
      </w:r>
      <w:r>
        <w:rPr>
          <w:rFonts w:ascii="Calibri" w:hAnsi="Calibri"/>
          <w:b w:val="0"/>
          <w:color w:val="1A1A1A"/>
          <w:sz w:val="21"/>
        </w:rPr>
        <w:t>NIBIB primary / NIA secondary.</w:t>
      </w:r>
    </w:p>
    <w:p>
      <w:pPr>
        <w:spacing w:after="40"/>
      </w:pPr>
      <w:r>
        <w:rPr>
          <w:rFonts w:ascii="Calibri" w:hAnsi="Calibri"/>
          <w:b/>
          <w:color w:val="1A1A1A"/>
          <w:sz w:val="21"/>
        </w:rPr>
        <w:t xml:space="preserve">Small Business Concern (PD/PI or co-PI): </w:t>
      </w:r>
      <w:r>
        <w:rPr>
          <w:rFonts w:ascii="Calibri" w:hAnsi="Calibri"/>
          <w:b w:val="0"/>
          <w:color w:val="1A1A1A"/>
          <w:sz w:val="21"/>
        </w:rPr>
        <w:t xml:space="preserve">Exos Aerospace, Greenville, TX.   </w:t>
      </w:r>
      <w:r>
        <w:rPr>
          <w:rFonts w:ascii="Calibri" w:hAnsi="Calibri"/>
          <w:b/>
          <w:color w:val="1A1A1A"/>
          <w:sz w:val="21"/>
        </w:rPr>
        <w:t xml:space="preserve">Research Institution of record: </w:t>
      </w:r>
      <w:r>
        <w:rPr>
          <w:rFonts w:ascii="Calibri" w:hAnsi="Calibri"/>
          <w:b w:val="0"/>
          <w:color w:val="1A1A1A"/>
          <w:sz w:val="21"/>
        </w:rPr>
        <w:t xml:space="preserve">University of Washington (Dr. Edward J. Kelly).   </w:t>
      </w:r>
    </w:p>
    <w:p>
      <w:pPr>
        <w:spacing w:after="80"/>
      </w:pPr>
      <w:r>
        <w:rPr>
          <w:rFonts w:ascii="Calibri" w:hAnsi="Calibri"/>
          <w:b/>
          <w:color w:val="1A1A1A"/>
          <w:sz w:val="21"/>
        </w:rPr>
        <w:t xml:space="preserve">Subaward institution: </w:t>
      </w:r>
      <w:r>
        <w:rPr>
          <w:rFonts w:ascii="Calibri" w:hAnsi="Calibri"/>
          <w:b w:val="0"/>
          <w:color w:val="1A1A1A"/>
          <w:sz w:val="21"/>
        </w:rPr>
        <w:t xml:space="preserve">Purdue University (Prof. Steven Collicott / Weldon BME).   </w:t>
      </w:r>
      <w:r>
        <w:rPr>
          <w:rFonts w:ascii="Calibri" w:hAnsi="Calibri"/>
          <w:b/>
          <w:color w:val="1A1A1A"/>
          <w:sz w:val="21"/>
        </w:rPr>
        <w:t xml:space="preserve">Prepared: </w:t>
      </w:r>
      <w:r>
        <w:rPr>
          <w:rFonts w:ascii="Calibri" w:hAnsi="Calibri"/>
          <w:b w:val="0"/>
          <w:color w:val="1A1A1A"/>
          <w:sz w:val="21"/>
        </w:rPr>
        <w:t xml:space="preserve">2026-08-26.   </w:t>
      </w:r>
      <w:r>
        <w:rPr>
          <w:rFonts w:ascii="Calibri" w:hAnsi="Calibri"/>
          <w:b/>
          <w:color w:val="1A1A1A"/>
          <w:sz w:val="21"/>
        </w:rPr>
        <w:t xml:space="preserve">Status: </w:t>
      </w:r>
      <w:r>
        <w:rPr>
          <w:rFonts w:ascii="Calibri" w:hAnsi="Calibri"/>
          <w:b w:val="0"/>
          <w:color w:val="1A1A1A"/>
          <w:sz w:val="21"/>
        </w:rPr>
        <w:t>DRAFT — not for external release.</w:t>
      </w:r>
    </w:p>
    <w:p>
      <w:pPr>
        <w:spacing w:after="80" w:before="0"/>
        <w:jc w:val="left"/>
      </w:pPr>
      <w:r>
        <w:rPr>
          <w:rFonts w:ascii="Calibri" w:hAnsi="Calibri"/>
          <w:b w:val="0"/>
          <w:i/>
          <w:color w:val="555555"/>
          <w:sz w:val="19"/>
        </w:rPr>
        <w:t>This document is the actual NIH research-plan narrative (Aims + Research Strategy), written to the NIH SBIR/STTR forms structure and page limits — it is the proposal itself, distinct from the outreach/intro correspondence already sent to the partners.</w:t>
      </w:r>
    </w:p>
    <w:p>
      <w:pPr>
        <w:spacing w:after="120" w:before="40"/>
        <w:jc w:val="left"/>
      </w:pPr>
      <w:r>
        <w:rPr>
          <w:rFonts w:ascii="Calibri" w:hAnsi="Calibri"/>
          <w:b w:val="0"/>
          <w:i w:val="0"/>
          <w:color w:val="555555"/>
          <w:sz w:val="16"/>
        </w:rPr>
        <w:t>——————————————————————————————————————————————</w:t>
      </w:r>
    </w:p>
    <w:p>
      <w:pPr>
        <w:spacing w:after="60" w:before="180"/>
        <w:jc w:val="left"/>
      </w:pPr>
      <w:r>
        <w:rPr>
          <w:rFonts w:ascii="Calibri" w:hAnsi="Calibri"/>
          <w:b/>
          <w:i w:val="0"/>
          <w:color w:val="0A3D7C"/>
          <w:sz w:val="23"/>
        </w:rPr>
        <w:t>STTR compliance snapshot (statutory work split)</w:t>
      </w:r>
    </w:p>
    <w:p>
      <w:pPr>
        <w:spacing w:after="60"/>
        <w:ind w:left="320"/>
      </w:pPr>
      <w:r>
        <w:rPr>
          <w:rFonts w:ascii="Calibri" w:hAnsi="Calibri"/>
          <w:b/>
          <w:color w:val="1A1A1A"/>
          <w:sz w:val="21"/>
        </w:rPr>
        <w:t xml:space="preserve">•  ≥40%: </w:t>
      </w:r>
      <w:r>
        <w:rPr>
          <w:rFonts w:ascii="Calibri" w:hAnsi="Calibri"/>
          <w:color w:val="1A1A1A"/>
          <w:sz w:val="21"/>
        </w:rPr>
        <w:t>Exos Aerospace (SBC) — platform, payload module, integration, flight operations, recovery.</w:t>
      </w:r>
    </w:p>
    <w:p>
      <w:pPr>
        <w:spacing w:after="60"/>
        <w:ind w:left="320"/>
      </w:pPr>
      <w:r>
        <w:rPr>
          <w:rFonts w:ascii="Calibri" w:hAnsi="Calibri"/>
          <w:b/>
          <w:color w:val="1A1A1A"/>
          <w:sz w:val="21"/>
        </w:rPr>
        <w:t xml:space="preserve">•  ≥30%: </w:t>
      </w:r>
      <w:r>
        <w:rPr>
          <w:rFonts w:ascii="Calibri" w:hAnsi="Calibri"/>
          <w:color w:val="1A1A1A"/>
          <w:sz w:val="21"/>
        </w:rPr>
        <w:t>University of Washington / Kelly lab (single partnering Research Institution of record) — kidney MPS science, assay design, onset-kinetics analysis.</w:t>
      </w:r>
    </w:p>
    <w:p>
      <w:pPr>
        <w:spacing w:after="60"/>
        <w:ind w:left="320"/>
      </w:pPr>
      <w:r>
        <w:rPr>
          <w:rFonts w:ascii="Calibri" w:hAnsi="Calibri"/>
          <w:b/>
          <w:color w:val="1A1A1A"/>
          <w:sz w:val="21"/>
        </w:rPr>
        <w:t xml:space="preserve">•  ≤30% (subaward): </w:t>
      </w:r>
      <w:r>
        <w:rPr>
          <w:rFonts w:ascii="Calibri" w:hAnsi="Calibri"/>
          <w:color w:val="1A1A1A"/>
          <w:sz w:val="21"/>
        </w:rPr>
        <w:t>Purdue University subaward (Collicott, AAE) — suborbital experiment design / reduced-gravity fluid methods; optional Weldon BME organ-chip co-investigator (Park).</w:t>
      </w:r>
    </w:p>
    <w:p>
      <w:pPr>
        <w:spacing w:after="120" w:before="0"/>
        <w:jc w:val="left"/>
      </w:pPr>
      <w:r>
        <w:rPr>
          <w:rFonts w:ascii="Calibri" w:hAnsi="Calibri"/>
          <w:b w:val="0"/>
          <w:i w:val="0"/>
          <w:color w:val="555555"/>
          <w:sz w:val="19"/>
        </w:rPr>
        <w:t>PD/PI to be confirmed (STTR permits the PI at either the SBC or the RI). Kelly's NIH/ISS record supports either an RI-based PI with an Exos co-PI, or an Exos-based PI with Kelly as co-PI. Multi-PI (MPI) leadership plan recommended.</w:t>
      </w:r>
    </w:p>
    <w:p>
      <w:pPr>
        <w:spacing w:after="120" w:before="40"/>
        <w:jc w:val="left"/>
      </w:pPr>
      <w:r>
        <w:rPr>
          <w:rFonts w:ascii="Calibri" w:hAnsi="Calibri"/>
          <w:b w:val="0"/>
          <w:i w:val="0"/>
          <w:color w:val="555555"/>
          <w:sz w:val="16"/>
        </w:rPr>
        <w:t>——————————————————————————————————————————————</w:t>
      </w:r>
    </w:p>
    <w:p>
      <w:pPr>
        <w:spacing w:after="100" w:before="280"/>
        <w:jc w:val="left"/>
      </w:pPr>
      <w:r>
        <w:rPr>
          <w:rFonts w:ascii="Calibri" w:hAnsi="Calibri"/>
          <w:b/>
          <w:i w:val="0"/>
          <w:color w:val="0A3D7C"/>
          <w:sz w:val="27"/>
        </w:rPr>
        <w:t>Project Narrative (public relevance — three sentences)</w:t>
      </w:r>
    </w:p>
    <w:p>
      <w:pPr>
        <w:spacing w:after="120" w:before="0"/>
        <w:jc w:val="left"/>
      </w:pPr>
      <w:r>
        <w:rPr>
          <w:rFonts w:ascii="Calibri" w:hAnsi="Calibri"/>
          <w:b w:val="0"/>
          <w:i w:val="0"/>
          <w:color w:val="1A1A1A"/>
          <w:sz w:val="21"/>
        </w:rPr>
        <w:t>Microphysiological systems (“organ chips”) that model the human kidney are increasingly used to predict drug toxicity and disease, and evidence shows microgravity alters their transport and barrier function in ways relevant to both spaceflight health and ground disease modeling. Sending these chips to the International Space Station is slow and costly, and late hardware failures waste scarce research dollars. This project develops and validates a low-cost, reusable suborbital flight platform that lets investigators screen and de-risk kidney chip experiments — capturing the first seconds-to-minutes of the microgravity response — before committing to an orbital campaign.</w:t>
      </w:r>
    </w:p>
    <w:p>
      <w:pPr>
        <w:spacing w:after="100" w:before="280"/>
        <w:jc w:val="left"/>
      </w:pPr>
      <w:r>
        <w:rPr>
          <w:rFonts w:ascii="Calibri" w:hAnsi="Calibri"/>
          <w:b/>
          <w:i w:val="0"/>
          <w:color w:val="0A3D7C"/>
          <w:sz w:val="27"/>
        </w:rPr>
        <w:t>Project Summary / Abstract (≤30 lines)</w:t>
      </w:r>
    </w:p>
    <w:p>
      <w:pPr>
        <w:spacing w:after="120" w:before="0"/>
        <w:jc w:val="left"/>
      </w:pPr>
      <w:r>
        <w:rPr>
          <w:rFonts w:ascii="Calibri" w:hAnsi="Calibri"/>
          <w:b w:val="0"/>
          <w:i w:val="0"/>
          <w:color w:val="1A1A1A"/>
          <w:sz w:val="21"/>
        </w:rPr>
        <w:t>Microphysiological systems (MPS), or organ-on-chip devices, are now central to NIH's mission to improve the predictivity of preclinical models. The NCATS/NIBIB Tissue Chips in Space program demonstrated that microgravity meaningfully perturbs MPS behavior — including renal transporter expression and epithelial barrier function — yet access to microgravity remains dominated by the International Space Station (ISS), where multi-year timelines, high cost, and launch/transit delays make it impractical to screen hardware or to isolate the earliest phase of the microgravity response. There is no rapid, recoverable, low-cost platform to de-risk an MPS payload before an ISS commitment. This STTR pairs Exos Aerospace — operator of BLK3, one of only three FAA-licensed reusable suborbital launch vehicles in the United States and a platform with peer-reviewed suborbital life-science heritage (living human glioblastoma stem cells; npj Microgravity 2023;9:92) — with the kidney-MPS laboratory of Dr. Edward Kelly at the University of Washington, an ISS Tissue Chips veteran and NCATS TraCe MPS kidney-center investigator, with a Purdue University subaward for suborbital experiment methods. We will (Aim 1) design and flight-qualify a standardized, environmentally controlled, recoverable BLK3 payload module for perfused kidney MPS with automated fixation at defined timepoints; (Aim 2) characterize the onset kinetics of the proximal-tubule MPS response across the first ~3–4 minutes of microgravity — drug-transporter function, barrier integrity, and mechanotransduction markers — producing a dataset not obtainable on ISS; and (Aim 3) validate the end-to-end suborbital screening pipeline and define a quantitative go/no-go framework for de-risking a subsequent ISS flight. The deliverable is a validated, reusable screening platform and a first onset-kinetics dataset that lower the cost and risk of orbital MPS science. Phase II expands to a multi-flight campaign and a standing screening service for NIH-funded MPS investigators, with a clear commercialization path in Exos's payload-services business.</w:t>
      </w:r>
    </w:p>
    <w:p>
      <w:pPr>
        <w:spacing w:after="100" w:before="280"/>
        <w:jc w:val="left"/>
      </w:pPr>
      <w:r>
        <w:rPr>
          <w:rFonts w:ascii="Calibri" w:hAnsi="Calibri"/>
          <w:b/>
          <w:i w:val="0"/>
          <w:color w:val="0A3D7C"/>
          <w:sz w:val="27"/>
        </w:rPr>
        <w:t>Specific Aims (1 page)</w:t>
      </w:r>
    </w:p>
    <w:p>
      <w:pPr>
        <w:spacing w:after="120" w:before="0"/>
        <w:jc w:val="left"/>
      </w:pPr>
      <w:r>
        <w:rPr>
          <w:rFonts w:ascii="Calibri" w:hAnsi="Calibri"/>
          <w:b w:val="0"/>
          <w:i w:val="0"/>
          <w:color w:val="1A1A1A"/>
          <w:sz w:val="21"/>
        </w:rPr>
        <w:t>Microphysiological systems now underpin NIH efforts to replace poorly predictive animal models, and the NCATS/NIBIB Tissue Chips in Space program established that microgravity alters kidney-MPS transport and barrier function. But the only routinely used microgravity environment for this work is the ISS: a platform whose cost, multi-year cadence, and launch/transit lag make it impossible to cheaply screen hardware, and impossible to isolate the earliest seconds-to-minutes of the microgravity (µg) response — the onset window where gravisensing and fluid-shift signaling initiate. Investigators therefore fly expensive orbital payloads with un-screened hardware and no onset-kinetics baseline, and absorb late-stage failures.</w:t>
      </w:r>
    </w:p>
    <w:p>
      <w:pPr>
        <w:spacing w:after="120" w:before="0"/>
        <w:jc w:val="left"/>
      </w:pPr>
      <w:r>
        <w:rPr>
          <w:rFonts w:ascii="Calibri" w:hAnsi="Calibri"/>
          <w:b w:val="0"/>
          <w:i w:val="0"/>
          <w:color w:val="1A1A1A"/>
          <w:sz w:val="21"/>
        </w:rPr>
        <w:t>We propose to close this gap with a reusable suborbital screening platform. Exos Aerospace operates BLK3, an FAA-licensed reusable suborbital vehicle that delivers ~3–4 minutes of recoverable microgravity with full payload return and rapid turnaround — at a fraction of ISS cost and lead time. Teamed with the UW kidney-MPS laboratory of Dr. Edward Kelly (ISS Tissue Chips veteran; NCATS TraCe MPS kidney center) and a Purdue suborbital-methods subaward, we will build and validate the platform and generate the first quantitative kidney-MPS onset-kinetics dataset. Our central hypothesis is that suborbital µg reproducibly and measurably perturbs proximal-tubule MPS transport and barrier function within the flight window, and that these early responses predict outcomes relevant to a subsequent ISS campaign — making suborbital flight a valid, low-cost screen. We will pursue three aims:</w:t>
      </w:r>
    </w:p>
    <w:p>
      <w:pPr>
        <w:spacing w:after="60" w:before="180"/>
        <w:jc w:val="left"/>
      </w:pPr>
      <w:r>
        <w:rPr>
          <w:rFonts w:ascii="Calibri" w:hAnsi="Calibri"/>
          <w:b/>
          <w:i w:val="0"/>
          <w:color w:val="0A3D7C"/>
          <w:sz w:val="23"/>
        </w:rPr>
        <w:t>Aim 1 — Design and flight-qualify a recoverable kidney-MPS payload module for BLK3. (Exos lead)</w:t>
      </w:r>
    </w:p>
    <w:p>
      <w:pPr>
        <w:spacing w:after="80" w:before="0"/>
        <w:jc w:val="left"/>
      </w:pPr>
      <w:r>
        <w:rPr>
          <w:rFonts w:ascii="Calibri" w:hAnsi="Calibri"/>
          <w:b w:val="0"/>
          <w:i w:val="0"/>
          <w:color w:val="1A1A1A"/>
          <w:sz w:val="21"/>
        </w:rPr>
        <w:t>Develop a standardized payload module providing perfusion, thermal control, and gas exchange for a perfused proximal-tubule MPS, with automated chemical fixation/quench at defined timepoints and intact recovery. Milestone: module passes vibration, thermal, and recovery qualification; interface control document (ICD) frozen; cell viability in a flight-representative ground profile ≥ that of static 1g controls.</w:t>
      </w:r>
    </w:p>
    <w:p>
      <w:pPr>
        <w:spacing w:after="60" w:before="180"/>
        <w:jc w:val="left"/>
      </w:pPr>
      <w:r>
        <w:rPr>
          <w:rFonts w:ascii="Calibri" w:hAnsi="Calibri"/>
          <w:b/>
          <w:i w:val="0"/>
          <w:color w:val="0A3D7C"/>
          <w:sz w:val="23"/>
        </w:rPr>
        <w:t>Aim 2 — Characterize onset kinetics of the proximal-tubule MPS response to microgravity. (UW/Kelly lead)</w:t>
      </w:r>
    </w:p>
    <w:p>
      <w:pPr>
        <w:spacing w:after="80" w:before="0"/>
        <w:jc w:val="left"/>
      </w:pPr>
      <w:r>
        <w:rPr>
          <w:rFonts w:ascii="Calibri" w:hAnsi="Calibri"/>
          <w:b w:val="0"/>
          <w:i w:val="0"/>
          <w:color w:val="1A1A1A"/>
          <w:sz w:val="21"/>
        </w:rPr>
        <w:t>Fly the Kelly-lab kidney MPS on BLK3 and quench at staged µg timepoints (e.g., ~0, 60, 240 s) plus ground and 1g-in-flight (centrifuge or matched-hardware) controls. Endpoints: drug-transporter function (e.g., OAT1/OAT3 uptake, P-gp/efflux), tight-junction/barrier integrity, cytoskeletal and mechanotransduction markers, and viability. Milestone: a statistically powered onset-kinetics dataset distinguishing µg-onset from 1g, unobtainable on ISS.</w:t>
      </w:r>
    </w:p>
    <w:p>
      <w:pPr>
        <w:spacing w:after="60" w:before="180"/>
        <w:jc w:val="left"/>
      </w:pPr>
      <w:r>
        <w:rPr>
          <w:rFonts w:ascii="Calibri" w:hAnsi="Calibri"/>
          <w:b/>
          <w:i w:val="0"/>
          <w:color w:val="0A3D7C"/>
          <w:sz w:val="23"/>
        </w:rPr>
        <w:t>Aim 3 — Validate the end-to-end screening pipeline and a de-risk-for-ISS decision framework. (Joint; Purdue methods)</w:t>
      </w:r>
    </w:p>
    <w:p>
      <w:pPr>
        <w:spacing w:after="80" w:before="0"/>
        <w:jc w:val="left"/>
      </w:pPr>
      <w:r>
        <w:rPr>
          <w:rFonts w:ascii="Calibri" w:hAnsi="Calibri"/>
          <w:b w:val="0"/>
          <w:i w:val="0"/>
          <w:color w:val="1A1A1A"/>
          <w:sz w:val="21"/>
        </w:rPr>
        <w:t>Establish and document the prep → integrate → fly → recover → assay pipeline with defined turnaround, and derive a quantitative go/no-go framework that maps suborbital onset metrics to ISS-campaign readiness. Purdue (Collicott) provides suborbital experiment design and reduced-gravity fluid-mechanics validation. Milestone: reproducible pipeline across ≥2 flights and a validated scoring rubric adopted into the Phase II service concept.</w:t>
      </w:r>
    </w:p>
    <w:p>
      <w:pPr>
        <w:spacing w:after="120" w:before="0"/>
        <w:jc w:val="left"/>
      </w:pPr>
      <w:r>
        <w:rPr>
          <w:rFonts w:ascii="Calibri" w:hAnsi="Calibri"/>
          <w:b w:val="0"/>
          <w:i/>
          <w:color w:val="555555"/>
          <w:sz w:val="20"/>
        </w:rPr>
        <w:t>Impact: a validated, reusable, low-cost microgravity screen and a first kidney-MPS onset-kinetics dataset that reduce the cost and risk of NIH orbital MPS science and seed a self-sustaining suborbital screening service.</w:t>
      </w:r>
    </w:p>
    <w:p>
      <w:pPr>
        <w:spacing w:after="100" w:before="280"/>
        <w:jc w:val="left"/>
      </w:pPr>
      <w:r>
        <w:rPr>
          <w:rFonts w:ascii="Calibri" w:hAnsi="Calibri"/>
          <w:b/>
          <w:i w:val="0"/>
          <w:color w:val="0A3D7C"/>
          <w:sz w:val="27"/>
        </w:rPr>
        <w:t>Research Strategy (≤6 pages)</w:t>
      </w:r>
    </w:p>
    <w:p>
      <w:pPr>
        <w:spacing w:after="60" w:before="180"/>
        <w:jc w:val="left"/>
      </w:pPr>
      <w:r>
        <w:rPr>
          <w:rFonts w:ascii="Calibri" w:hAnsi="Calibri"/>
          <w:b/>
          <w:i w:val="0"/>
          <w:color w:val="0A3D7C"/>
          <w:sz w:val="23"/>
        </w:rPr>
        <w:t>A. Significance</w:t>
      </w:r>
    </w:p>
    <w:p>
      <w:pPr>
        <w:spacing w:after="120" w:before="0"/>
        <w:jc w:val="left"/>
      </w:pPr>
      <w:r>
        <w:rPr>
          <w:rFonts w:ascii="Calibri" w:hAnsi="Calibri"/>
          <w:b w:val="0"/>
          <w:i w:val="0"/>
          <w:color w:val="1A1A1A"/>
          <w:sz w:val="21"/>
        </w:rPr>
        <w:t>The problem. NIH has invested heavily in microphysiological systems to improve preclinical predictivity, and the NCATS/NIBIB Tissue Chips in Space program (a NCATS + NIBIB partnership) showed that microgravity is a uniquely revealing stressor for these systems — renal MPS flown to ISS displayed altered transporter expression and epithelial phenotype relevant both to astronaut health and to ground disease and aging models. That program also exposed the bottleneck: microgravity access for MPS is effectively synonymous with the ISS. An ISS MPS experiment carries multi-year lead times, six- to seven-figure cost, constrained crew time, and launch/transit delays that both gate throughput and blur the earliest phase of the biological response. Two consequences follow. First, investigators fly un-screened hardware: a fluidic seal, bubble-management, or viability failure discovered on orbit is enormously expensive. Second, the onset window — the first seconds to minutes in which gravisensing, cytoskeletal remodeling, and fluid-shift signaling initiate — is essentially unobservable on ISS, because payloads reach microgravity hours of handling and a launch profile removed from the cells' first exposure.</w:t>
      </w:r>
    </w:p>
    <w:p>
      <w:pPr>
        <w:spacing w:after="120" w:before="0"/>
        <w:jc w:val="left"/>
      </w:pPr>
      <w:r>
        <w:rPr>
          <w:rFonts w:ascii="Calibri" w:hAnsi="Calibri"/>
          <w:b w:val="0"/>
          <w:i w:val="0"/>
          <w:color w:val="1A1A1A"/>
          <w:sz w:val="21"/>
        </w:rPr>
        <w:t>Why suborbital, and why now. A reusable suborbital vehicle delivers a clean ~3–4 minute microgravity plateau with the payload in the investigator's hands within hours — recovered intact for immediate assay. This is the natural instrument for two things ISS cannot cheaply provide: (1) low-cost, rapid-turnaround screening to de-risk hardware and protocols before an orbital commitment, and (2) direct capture of onset kinetics. Suborbital flight does not replace sustained-µg ISS science; it screens and de-risks before it, and it interrogates a time window ISS obscures. The NIH SBIR/STTR program was reauthorized in April 2026; microgravity is investigator-initiated (not a named topic), and a device/platform framing fits NIBIB, which co-funded the Tissue Chips in Space program and already holds microgravity MPS in its portfolio (NIA secondary for µg-accelerated-aging angles).</w:t>
      </w:r>
    </w:p>
    <w:p>
      <w:pPr>
        <w:spacing w:after="120" w:before="0"/>
        <w:jc w:val="left"/>
      </w:pPr>
      <w:r>
        <w:rPr>
          <w:rFonts w:ascii="Calibri" w:hAnsi="Calibri"/>
          <w:b w:val="0"/>
          <w:i w:val="0"/>
          <w:color w:val="1A1A1A"/>
          <w:sz w:val="21"/>
        </w:rPr>
        <w:t>Significance of success. A validated suborbital screen would let every NIH-funded MPS group test hardware and protocol before spending orbital dollars — “screen on BLK3, fly the winners to ISS” — and would create the first systematic onset-kinetics datasets for renal (and, in Phase II, other) MPS. Kidney MPS is the right beachhead: renal proximal-tubule transport is central to drug clearance and nephrotoxicity, it is one of the most mature MPS domains, and the UW Kelly laboratory has already flown kidney chips to ISS and runs an NCATS TraCe MPS kidney center — the science, the assays, and the ISS reference points already exist.</w:t>
      </w:r>
    </w:p>
    <w:p>
      <w:pPr>
        <w:spacing w:after="60" w:before="180"/>
        <w:jc w:val="left"/>
      </w:pPr>
      <w:r>
        <w:rPr>
          <w:rFonts w:ascii="Calibri" w:hAnsi="Calibri"/>
          <w:b/>
          <w:i w:val="0"/>
          <w:color w:val="0A3D7C"/>
          <w:sz w:val="23"/>
        </w:rPr>
        <w:t>B. Innovation</w:t>
      </w:r>
    </w:p>
    <w:p>
      <w:pPr>
        <w:spacing w:after="60"/>
        <w:ind w:left="320"/>
      </w:pPr>
      <w:r>
        <w:rPr>
          <w:rFonts w:ascii="Calibri" w:hAnsi="Calibri"/>
          <w:b/>
          <w:color w:val="1A1A1A"/>
          <w:sz w:val="21"/>
        </w:rPr>
        <w:t xml:space="preserve">•  Platform: </w:t>
      </w:r>
      <w:r>
        <w:rPr>
          <w:rFonts w:ascii="Calibri" w:hAnsi="Calibri"/>
          <w:color w:val="1A1A1A"/>
          <w:sz w:val="21"/>
        </w:rPr>
        <w:t>A purpose-built, recoverable suborbital MPS platform. We convert a reusable launch vehicle into a standardized, environmentally controlled, quick-turn research instrument for perfused organ chips — not a one-off payload.</w:t>
      </w:r>
    </w:p>
    <w:p>
      <w:pPr>
        <w:spacing w:after="60"/>
        <w:ind w:left="320"/>
      </w:pPr>
      <w:r>
        <w:rPr>
          <w:rFonts w:ascii="Calibri" w:hAnsi="Calibri"/>
          <w:b/>
          <w:color w:val="1A1A1A"/>
          <w:sz w:val="21"/>
        </w:rPr>
        <w:t xml:space="preserve">•  Measurement: </w:t>
      </w:r>
      <w:r>
        <w:rPr>
          <w:rFonts w:ascii="Calibri" w:hAnsi="Calibri"/>
          <w:color w:val="1A1A1A"/>
          <w:sz w:val="21"/>
        </w:rPr>
        <w:t>Onset-kinetics as a first-class measurement. Automated in-flight fixation at staged µg timepoints isolates the 0–240 s response window that ISS cannot resolve, turning a limitation of short-duration flight into the core scientific product.</w:t>
      </w:r>
    </w:p>
    <w:p>
      <w:pPr>
        <w:spacing w:after="60"/>
        <w:ind w:left="320"/>
      </w:pPr>
      <w:r>
        <w:rPr>
          <w:rFonts w:ascii="Calibri" w:hAnsi="Calibri"/>
          <w:b/>
          <w:color w:val="1A1A1A"/>
          <w:sz w:val="21"/>
        </w:rPr>
        <w:t xml:space="preserve">•  Method: </w:t>
      </w:r>
      <w:r>
        <w:rPr>
          <w:rFonts w:ascii="Calibri" w:hAnsi="Calibri"/>
          <w:color w:val="1A1A1A"/>
          <w:sz w:val="21"/>
        </w:rPr>
        <w:t>A screen-before-ISS decision framework. We define quantitative go/no-go metrics linking cheap suborbital data to orbital-campaign readiness — a reusable methodology, not just a dataset.</w:t>
      </w:r>
    </w:p>
    <w:p>
      <w:pPr>
        <w:spacing w:after="60"/>
        <w:ind w:left="320"/>
      </w:pPr>
      <w:r>
        <w:rPr>
          <w:rFonts w:ascii="Calibri" w:hAnsi="Calibri"/>
          <w:b/>
          <w:color w:val="1A1A1A"/>
          <w:sz w:val="21"/>
        </w:rPr>
        <w:t xml:space="preserve">•  Economics: </w:t>
      </w:r>
      <w:r>
        <w:rPr>
          <w:rFonts w:ascii="Calibri" w:hAnsi="Calibri"/>
          <w:color w:val="1A1A1A"/>
          <w:sz w:val="21"/>
        </w:rPr>
        <w:t>A commercial reuse model. Because BLK3 is reusable with rapid turnaround, the same qualified module supports a recurring, low-cost screening service for the broader NIH MPS community, giving the platform a self-sustaining commercialization path beyond the award.</w:t>
      </w:r>
    </w:p>
    <w:p>
      <w:pPr>
        <w:spacing w:after="120" w:before="0"/>
        <w:jc w:val="left"/>
      </w:pPr>
      <w:r>
        <w:rPr>
          <w:rFonts w:ascii="Calibri" w:hAnsi="Calibri"/>
          <w:b w:val="0"/>
          <w:i w:val="0"/>
          <w:color w:val="1A1A1A"/>
          <w:sz w:val="21"/>
        </w:rPr>
        <w:t>Distinct from prior art: existing microgravity-MPS work is ISS/orbital and captures chronic exposure; parabolic flight offers only ~20–second, non-recoverable, repeated transients. Neither delivers a single clean multi-minute µg plateau with intact recovery and staged fixation. That combination is the novelty. Notably, the Kelly lab's own sustained-µg PT-MPS flights to ISS (Lidberg et al., npj Microgravity 2024) found no significant alteration in proximal-tubule vitamin-D metabolism or a unique response to human serum under chronic exposure — leaving the acute onset window (the first seconds to minutes, obscured by ISS transit time) as an open question their own published ISS dataset cannot answer and this proposal is purpose-built to test.</w:t>
      </w:r>
    </w:p>
    <w:p>
      <w:pPr>
        <w:spacing w:after="60" w:before="180"/>
        <w:jc w:val="left"/>
      </w:pPr>
      <w:r>
        <w:rPr>
          <w:rFonts w:ascii="Calibri" w:hAnsi="Calibri"/>
          <w:b/>
          <w:i w:val="0"/>
          <w:color w:val="0A3D7C"/>
          <w:sz w:val="23"/>
        </w:rPr>
        <w:t>C. Approach</w:t>
      </w:r>
    </w:p>
    <w:p>
      <w:pPr>
        <w:spacing w:after="120" w:before="0"/>
        <w:jc w:val="left"/>
      </w:pPr>
      <w:r>
        <w:rPr>
          <w:rFonts w:ascii="Calibri" w:hAnsi="Calibri"/>
          <w:b w:val="0"/>
          <w:i w:val="0"/>
          <w:color w:val="1A1A1A"/>
          <w:sz w:val="21"/>
        </w:rPr>
        <w:t>Team and roles. Exos Aerospace (SBC, ≥40%) owns the vehicle, the payload module, integration, flight operations, and recovery, and contributes peer-reviewed suborbital life-science heritage. The University of Washington Kelly laboratory (Research Institution of record, ≥30%) owns the kidney-MPS biology, assays, controls, and onset-kinetics analysis; Dr. Kelly's ISS Tissue Chips flights and NCATS TraCe MPS kidney center supply validated hardware and orbital reference data. A Purdue University subaward (≤30%; Prof. Collicott, AAE) contributes suborbital experiment design and reduced-gravity fluid-mechanics methods, with an optional Weldon BME organ-chip co-investigator (Park) to deepen the bio bench. All µg durations, g-levels, and viability claims below are design targets to be verified in Aim 1, not demonstrated results.</w:t>
      </w:r>
    </w:p>
    <w:p>
      <w:pPr>
        <w:spacing w:after="40" w:before="0"/>
        <w:jc w:val="left"/>
      </w:pPr>
      <w:r>
        <w:rPr>
          <w:rFonts w:ascii="Calibri" w:hAnsi="Calibri"/>
          <w:b/>
          <w:i w:val="0"/>
          <w:color w:val="1A1A1A"/>
          <w:sz w:val="21"/>
        </w:rPr>
        <w:t>Aim 1 — Payload module design and flight qualification (Exos lead; months 1–6).</w:t>
      </w:r>
    </w:p>
    <w:p>
      <w:pPr>
        <w:spacing w:after="60"/>
        <w:ind w:left="320"/>
      </w:pPr>
      <w:r>
        <w:rPr>
          <w:rFonts w:ascii="Calibri" w:hAnsi="Calibri"/>
          <w:color w:val="1A1A1A"/>
          <w:sz w:val="21"/>
        </w:rPr>
        <w:t>•  Design a self-contained module providing closed-loop perfusion, thermal control (37°C), and gas exchange sized to the Kelly-lab MPS cartridge, with automated reagent actuation for fixation/quench at commanded timepoints and a sealed, recoverable containment consistent with FAA payload safety and biosafety handling.</w:t>
      </w:r>
    </w:p>
    <w:p>
      <w:pPr>
        <w:spacing w:after="60"/>
        <w:ind w:left="320"/>
      </w:pPr>
      <w:r>
        <w:rPr>
          <w:rFonts w:ascii="Calibri" w:hAnsi="Calibri"/>
          <w:color w:val="1A1A1A"/>
          <w:sz w:val="21"/>
        </w:rPr>
        <w:t>•  Freeze an interface control document (ICD) with UW (fluidics, power, data, thermal, biosafety) and define the recovery-to-assay chain (target payload-in-hand within hours of landing).</w:t>
      </w:r>
    </w:p>
    <w:p>
      <w:pPr>
        <w:spacing w:after="60"/>
        <w:ind w:left="320"/>
      </w:pPr>
      <w:r>
        <w:rPr>
          <w:rFonts w:ascii="Calibri" w:hAnsi="Calibri"/>
          <w:color w:val="1A1A1A"/>
          <w:sz w:val="21"/>
        </w:rPr>
        <w:t>•  Qualify against a flight-representative environment — boost/ascent loads and transient shock, thermal, and recovery — using Exos ground facilities (Greenville: manufacturing, test, and tethered-hover only; no launch on site). Verify cell viability in a ground flight-profile run relative to static 1g controls before committing cells to flight.</w:t>
      </w:r>
    </w:p>
    <w:p>
      <w:pPr>
        <w:spacing w:after="120"/>
      </w:pPr>
      <w:r>
        <w:rPr>
          <w:rFonts w:ascii="Calibri" w:hAnsi="Calibri"/>
          <w:b/>
          <w:color w:val="1A1A1A"/>
          <w:sz w:val="20"/>
        </w:rPr>
        <w:t xml:space="preserve">Milestone / go-no-go (M6): </w:t>
      </w:r>
      <w:r>
        <w:rPr>
          <w:rFonts w:ascii="Calibri" w:hAnsi="Calibri"/>
          <w:b w:val="0"/>
          <w:color w:val="1A1A1A"/>
          <w:sz w:val="20"/>
        </w:rPr>
        <w:t>qualified module + frozen ICD + viability parity in ground profile. Failure here re-scopes Aim 2 timepoints or module before any flight cell use.</w:t>
      </w:r>
    </w:p>
    <w:p>
      <w:pPr>
        <w:spacing w:after="40" w:before="0"/>
        <w:jc w:val="left"/>
      </w:pPr>
      <w:r>
        <w:rPr>
          <w:rFonts w:ascii="Calibri" w:hAnsi="Calibri"/>
          <w:b/>
          <w:i w:val="0"/>
          <w:color w:val="1A1A1A"/>
          <w:sz w:val="21"/>
        </w:rPr>
        <w:t>Aim 2 — Onset-kinetics characterization (UW/Kelly lead; months 4–11).</w:t>
      </w:r>
    </w:p>
    <w:p>
      <w:pPr>
        <w:spacing w:after="60"/>
        <w:ind w:left="320"/>
      </w:pPr>
      <w:r>
        <w:rPr>
          <w:rFonts w:ascii="Calibri" w:hAnsi="Calibri"/>
          <w:color w:val="1A1A1A"/>
          <w:sz w:val="21"/>
        </w:rPr>
        <w:t>•  Fly the perfused proximal-tubule MPS on BLK3 and command fixation at staged µg timepoints (e.g., ~0, 60, 240 s), with matched ground controls and an in-flight/hardware-matched 1g reference to separate µg effects from launch, vibration, and handling.</w:t>
      </w:r>
    </w:p>
    <w:p>
      <w:pPr>
        <w:spacing w:after="60"/>
        <w:ind w:left="320"/>
      </w:pPr>
      <w:r>
        <w:rPr>
          <w:rFonts w:ascii="Calibri" w:hAnsi="Calibri"/>
          <w:color w:val="1A1A1A"/>
          <w:sz w:val="21"/>
        </w:rPr>
        <w:t>•  Assay panel (Kelly lab): active drug-transporter function (e.g., OAT1/OAT3-mediated uptake; P-gp/efflux), tight-junction and barrier integrity, cytoskeletal / mechanotransduction and gravisensing markers, proteinuria, and vitamin-D bioactivation (25(OH)D3 → 1,25(OH)2D3), directly benchmarked against the lab's own two ISS PT-MPS flights (CRS-17: vitamin D metabolism / proteinuric response; CRS-22: calcium-oxalate microcrystal nephrolithiasis model) and their published sustained-exposure result set.</w:t>
      </w:r>
    </w:p>
    <w:p>
      <w:pPr>
        <w:spacing w:after="60"/>
        <w:ind w:left="320"/>
      </w:pPr>
      <w:r>
        <w:rPr>
          <w:rFonts w:ascii="Calibri" w:hAnsi="Calibri"/>
          <w:color w:val="1A1A1A"/>
          <w:sz w:val="21"/>
        </w:rPr>
        <w:t>•  Power/replication: define n per timepoint from the Kelly lab's ISS/ground effect-size history for the primary transporter and vitamin-D endpoints (their CRS-17/CRS-22 datasets provide the baseline variance estimates) to detect a pre-specified change across ≥2 flights; pre-register endpoints and analysis.</w:t>
      </w:r>
    </w:p>
    <w:p>
      <w:pPr>
        <w:spacing w:after="120"/>
      </w:pPr>
      <w:r>
        <w:rPr>
          <w:rFonts w:ascii="Calibri" w:hAnsi="Calibri"/>
          <w:b/>
          <w:color w:val="1A1A1A"/>
          <w:sz w:val="20"/>
        </w:rPr>
        <w:t xml:space="preserve">Milestone (M11): </w:t>
      </w:r>
      <w:r>
        <w:rPr>
          <w:rFonts w:ascii="Calibri" w:hAnsi="Calibri"/>
          <w:b w:val="0"/>
          <w:color w:val="1A1A1A"/>
          <w:sz w:val="20"/>
        </w:rPr>
        <w:t>a statistically powered onset-kinetics dataset that distinguishes µg-onset responses from 1g controls and resolves dynamics ISS cannot capture.</w:t>
      </w:r>
    </w:p>
    <w:p>
      <w:pPr>
        <w:spacing w:after="40" w:before="0"/>
        <w:jc w:val="left"/>
      </w:pPr>
      <w:r>
        <w:rPr>
          <w:rFonts w:ascii="Calibri" w:hAnsi="Calibri"/>
          <w:b/>
          <w:i w:val="0"/>
          <w:color w:val="1A1A1A"/>
          <w:sz w:val="21"/>
        </w:rPr>
        <w:t>Aim 3 — Pipeline validation and de-risk-for-ISS framework (joint; Purdue methods; months 6–12).</w:t>
      </w:r>
    </w:p>
    <w:p>
      <w:pPr>
        <w:spacing w:after="60"/>
        <w:ind w:left="320"/>
      </w:pPr>
      <w:r>
        <w:rPr>
          <w:rFonts w:ascii="Calibri" w:hAnsi="Calibri"/>
          <w:color w:val="1A1A1A"/>
          <w:sz w:val="21"/>
        </w:rPr>
        <w:t>•  Document the full prep → integrate → fly → recover → assay pipeline with measured turnaround and reproducibility across the flights; Purdue (Collicott) leads suborbital experiment-design and reduced-gravity fluid-mechanics validation of the perfusion/quench behavior.</w:t>
      </w:r>
    </w:p>
    <w:p>
      <w:pPr>
        <w:spacing w:after="60"/>
        <w:ind w:left="320"/>
      </w:pPr>
      <w:r>
        <w:rPr>
          <w:rFonts w:ascii="Calibri" w:hAnsi="Calibri"/>
          <w:color w:val="1A1A1A"/>
          <w:sz w:val="21"/>
        </w:rPr>
        <w:t>•  Derive a quantitative go/no-go rubric mapping suborbital onset metrics to ISS-campaign readiness (which failure modes suborbital screening catches; which endpoints predict orbital outcomes).</w:t>
      </w:r>
    </w:p>
    <w:p>
      <w:pPr>
        <w:spacing w:after="120"/>
      </w:pPr>
      <w:r>
        <w:rPr>
          <w:rFonts w:ascii="Calibri" w:hAnsi="Calibri"/>
          <w:b/>
          <w:color w:val="1A1A1A"/>
          <w:sz w:val="20"/>
        </w:rPr>
        <w:t xml:space="preserve">Milestone (M12): </w:t>
      </w:r>
      <w:r>
        <w:rPr>
          <w:rFonts w:ascii="Calibri" w:hAnsi="Calibri"/>
          <w:b w:val="0"/>
          <w:color w:val="1A1A1A"/>
          <w:sz w:val="20"/>
        </w:rPr>
        <w:t>reproducible pipeline across ≥2 flights + validated scoring rubric carried into the Phase II service concept.</w:t>
      </w:r>
    </w:p>
    <w:p>
      <w:pPr>
        <w:spacing w:after="60" w:before="180"/>
        <w:jc w:val="left"/>
      </w:pPr>
      <w:r>
        <w:rPr>
          <w:rFonts w:ascii="Calibri" w:hAnsi="Calibri"/>
          <w:b/>
          <w:i w:val="0"/>
          <w:color w:val="0A3D7C"/>
          <w:sz w:val="23"/>
        </w:rPr>
        <w:t>Compliance, risk, and feasibility</w:t>
      </w:r>
    </w:p>
    <w:p>
      <w:pPr>
        <w:spacing w:after="60"/>
        <w:ind w:left="320"/>
      </w:pPr>
      <w:r>
        <w:rPr>
          <w:rFonts w:ascii="Calibri" w:hAnsi="Calibri"/>
          <w:b/>
          <w:color w:val="1A1A1A"/>
          <w:sz w:val="21"/>
        </w:rPr>
        <w:t xml:space="preserve">•  Vehicle: </w:t>
      </w:r>
      <w:r>
        <w:rPr>
          <w:rFonts w:ascii="Calibri" w:hAnsi="Calibri"/>
          <w:color w:val="1A1A1A"/>
          <w:sz w:val="21"/>
        </w:rPr>
        <w:t>BLK3 is FAA-licensed but has not yet flown commercially; the March 2027 flight provides a concrete near-term target, and Aim 1 qualification precedes any cell flight. Schedule risk is mitigated by decoupling module qualification (Aim 1) from the specific flight date and by planning ≥2 flights.</w:t>
      </w:r>
    </w:p>
    <w:p>
      <w:pPr>
        <w:spacing w:after="60"/>
        <w:ind w:left="320"/>
      </w:pPr>
      <w:r>
        <w:rPr>
          <w:rFonts w:ascii="Calibri" w:hAnsi="Calibri"/>
          <w:b/>
          <w:color w:val="1A1A1A"/>
          <w:sz w:val="21"/>
        </w:rPr>
        <w:t xml:space="preserve">•  Bio: </w:t>
      </w:r>
      <w:r>
        <w:rPr>
          <w:rFonts w:ascii="Calibri" w:hAnsi="Calibri"/>
          <w:color w:val="1A1A1A"/>
          <w:sz w:val="21"/>
        </w:rPr>
        <w:t>Human specimens / cell lines only (established human and iPSC-derived renal cells); no vertebrate animals and no human-subjects interaction anticipated — documented under the appropriate exemptions with authentication of key biological resources.</w:t>
      </w:r>
    </w:p>
    <w:p>
      <w:pPr>
        <w:spacing w:after="60"/>
        <w:ind w:left="320"/>
      </w:pPr>
      <w:r>
        <w:rPr>
          <w:rFonts w:ascii="Calibri" w:hAnsi="Calibri"/>
          <w:b/>
          <w:color w:val="1A1A1A"/>
          <w:sz w:val="21"/>
        </w:rPr>
        <w:t xml:space="preserve">•  Safety: </w:t>
      </w:r>
      <w:r>
        <w:rPr>
          <w:rFonts w:ascii="Calibri" w:hAnsi="Calibri"/>
          <w:color w:val="1A1A1A"/>
          <w:sz w:val="21"/>
        </w:rPr>
        <w:t>Sealed, recoverable containment; standard MPS biosafety; no select agents.</w:t>
      </w:r>
    </w:p>
    <w:p>
      <w:pPr>
        <w:spacing w:after="60"/>
        <w:ind w:left="320"/>
      </w:pPr>
      <w:r>
        <w:rPr>
          <w:rFonts w:ascii="Calibri" w:hAnsi="Calibri"/>
          <w:b/>
          <w:color w:val="1A1A1A"/>
          <w:sz w:val="21"/>
        </w:rPr>
        <w:t xml:space="preserve">•  Scientific: </w:t>
      </w:r>
      <w:r>
        <w:rPr>
          <w:rFonts w:ascii="Calibri" w:hAnsi="Calibri"/>
          <w:color w:val="1A1A1A"/>
          <w:sz w:val="21"/>
        </w:rPr>
        <w:t>If µg-onset signals are small, the powered multi-flight design and pre-registered primary endpoint preserve interpretability; a null onset result is itself a fundable screening finding (defines what suborbital can and cannot resolve).</w:t>
      </w:r>
    </w:p>
    <w:p>
      <w:pPr>
        <w:spacing w:after="60" w:before="180"/>
        <w:jc w:val="left"/>
      </w:pPr>
      <w:r>
        <w:rPr>
          <w:rFonts w:ascii="Calibri" w:hAnsi="Calibri"/>
          <w:b/>
          <w:i w:val="0"/>
          <w:color w:val="0A3D7C"/>
          <w:sz w:val="23"/>
        </w:rPr>
        <w:t>Phase I deliverables and path to Phase II / commercialization</w:t>
      </w:r>
    </w:p>
    <w:p>
      <w:pPr>
        <w:spacing w:after="60"/>
        <w:ind w:left="320"/>
      </w:pPr>
      <w:r>
        <w:rPr>
          <w:rFonts w:ascii="Calibri" w:hAnsi="Calibri"/>
          <w:color w:val="1A1A1A"/>
          <w:sz w:val="21"/>
        </w:rPr>
        <w:t>•  Flight-qualified, recoverable kidney-MPS payload module + frozen ICD (reusable across investigators).</w:t>
      </w:r>
    </w:p>
    <w:p>
      <w:pPr>
        <w:spacing w:after="60"/>
        <w:ind w:left="320"/>
      </w:pPr>
      <w:r>
        <w:rPr>
          <w:rFonts w:ascii="Calibri" w:hAnsi="Calibri"/>
          <w:color w:val="1A1A1A"/>
          <w:sz w:val="21"/>
        </w:rPr>
        <w:t>•  First quantitative kidney-MPS onset-kinetics dataset and a validated de-risk-for-ISS scoring framework.</w:t>
      </w:r>
    </w:p>
    <w:p>
      <w:pPr>
        <w:spacing w:after="60"/>
        <w:ind w:left="320"/>
      </w:pPr>
      <w:r>
        <w:rPr>
          <w:rFonts w:ascii="Calibri" w:hAnsi="Calibri"/>
          <w:color w:val="1A1A1A"/>
          <w:sz w:val="21"/>
        </w:rPr>
        <w:t>•  Phase II: multi-flight campaign; extend the module to additional MPS (cardiac, hepatic, barrier tissues); stand up a recurring suborbital screening service for NCATS TraCe MPS / Tissue-Chips and NASA-funded groups. Commercialization rides Exos's existing payload-services business (recoverable capacity, published per-flight pricing), giving a credible non-dilutive-to-revenue transition.</w:t>
      </w:r>
    </w:p>
    <w:p>
      <w:pPr>
        <w:spacing w:after="60" w:before="180"/>
        <w:jc w:val="left"/>
      </w:pPr>
      <w:r>
        <w:rPr>
          <w:rFonts w:ascii="Calibri" w:hAnsi="Calibri"/>
          <w:b/>
          <w:i w:val="0"/>
          <w:color w:val="0A3D7C"/>
          <w:sz w:val="23"/>
        </w:rPr>
        <w:t>Budget and period (Phase I)</w:t>
      </w:r>
    </w:p>
    <w:p>
      <w:pPr>
        <w:spacing w:after="120" w:before="0"/>
        <w:jc w:val="left"/>
      </w:pPr>
      <w:r>
        <w:rPr>
          <w:rFonts w:ascii="Calibri" w:hAnsi="Calibri"/>
          <w:b w:val="0"/>
          <w:i w:val="0"/>
          <w:color w:val="1A1A1A"/>
          <w:sz w:val="20"/>
        </w:rPr>
        <w:t>~12 months. Total costs consistent with the NIH SBIR/STTR Phase I guideline, allocated to the statutory STTR split: Exos (SBC) ≥40%, UW (RI of record) ≥30%, Purdue subaward ≤30%. Detailed budget and justification to be built to the final guideline amount during routing; UW OSP (~5–7 business days) and Purdue SPS (~5 business days) internal routing govern the true submission-ready date ahead of the September 8 deadline.</w:t>
      </w:r>
    </w:p>
    <w:p>
      <w:pPr>
        <w:spacing w:after="120" w:before="40"/>
        <w:jc w:val="left"/>
      </w:pPr>
      <w:r>
        <w:rPr>
          <w:rFonts w:ascii="Calibri" w:hAnsi="Calibri"/>
          <w:b w:val="0"/>
          <w:i w:val="0"/>
          <w:color w:val="555555"/>
          <w:sz w:val="16"/>
        </w:rPr>
        <w:t>——————————————————————————————————————————————</w:t>
      </w:r>
    </w:p>
    <w:p>
      <w:pPr>
        <w:spacing w:after="60" w:before="180"/>
        <w:jc w:val="left"/>
      </w:pPr>
      <w:r>
        <w:rPr>
          <w:rFonts w:ascii="Calibri" w:hAnsi="Calibri"/>
          <w:b/>
          <w:i w:val="0"/>
          <w:color w:val="0A3D7C"/>
          <w:sz w:val="23"/>
        </w:rPr>
        <w:t>What still must be locked before submission (not part of the narrative, but gates it)</w:t>
      </w:r>
    </w:p>
    <w:p>
      <w:pPr>
        <w:spacing w:after="60"/>
        <w:ind w:left="320"/>
      </w:pPr>
      <w:r>
        <w:rPr>
          <w:rFonts w:ascii="Calibri" w:hAnsi="Calibri"/>
          <w:color w:val="1A1A1A"/>
          <w:sz w:val="21"/>
        </w:rPr>
        <w:t>•  Confirm PD/PI vs. co-PI (MPI leadership plan) and NIBIB program-officer pre-submission concurrence (SEED office).</w:t>
      </w:r>
    </w:p>
    <w:p>
      <w:pPr>
        <w:spacing w:after="60"/>
        <w:ind w:left="320"/>
      </w:pPr>
      <w:r>
        <w:rPr>
          <w:rFonts w:ascii="Calibri" w:hAnsi="Calibri"/>
          <w:color w:val="1A1A1A"/>
          <w:sz w:val="21"/>
        </w:rPr>
        <w:t>•  Kelly to open UW OSP routing and Collicott to open Purdue subaward routing now; the later office governs.</w:t>
      </w:r>
    </w:p>
    <w:p>
      <w:pPr>
        <w:spacing w:after="60"/>
        <w:ind w:left="320"/>
      </w:pPr>
      <w:r>
        <w:rPr>
          <w:rFonts w:ascii="Calibri" w:hAnsi="Calibri"/>
          <w:color w:val="1A1A1A"/>
          <w:sz w:val="21"/>
        </w:rPr>
        <w:t>•  Exos org-level eRA Commons registration APPROVAL (submitted 2026-08-26, pending NIH) — the last plumbing gate.</w:t>
      </w:r>
    </w:p>
    <w:p>
      <w:pPr>
        <w:spacing w:after="60"/>
        <w:ind w:left="320"/>
      </w:pPr>
      <w:r>
        <w:rPr>
          <w:rFonts w:ascii="Calibri" w:hAnsi="Calibri"/>
          <w:color w:val="1A1A1A"/>
          <w:sz w:val="21"/>
        </w:rPr>
        <w:t>•  Kelly-lab MPS specifics (cell source, exact transporter/barrier assays, effect sizes) drop into Aim 2 to finalize power and endpoints.</w:t>
      </w:r>
    </w:p>
    <w:p>
      <w:pPr>
        <w:spacing w:after="120" w:before="160"/>
        <w:jc w:val="left"/>
      </w:pPr>
      <w:r>
        <w:rPr>
          <w:rFonts w:ascii="Calibri" w:hAnsi="Calibri"/>
          <w:b w:val="0"/>
          <w:i/>
          <w:color w:val="555555"/>
          <w:sz w:val="17"/>
        </w:rPr>
        <w:t>Prepared by Exo for John Quinn, Exos Aerospace. DRAFT — internal review only; not for external release. Sources: capture/NIH_Microgravity_pursuit.md; NIH SBIR/STTR forms (Specific Aims 1 pg / Research Strategy 6 pg; Abstract 30 lines; Narrative 3 sentences); npj Microgravity 2023;9:92.</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