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B9E"/>
          <w:sz w:val="22"/>
        </w:rPr>
        <w:t>EXOS AEROSPACE</w:t>
      </w:r>
    </w:p>
    <w:p>
      <w:pPr>
        <w:jc w:val="center"/>
      </w:pPr>
      <w:r>
        <w:rPr>
          <w:b/>
          <w:color w:val="23272B"/>
          <w:sz w:val="40"/>
        </w:rPr>
        <w:t>MTP · Consortium M&amp;A Engine  v2</w:t>
      </w:r>
    </w:p>
    <w:p>
      <w:pPr>
        <w:jc w:val="center"/>
      </w:pPr>
      <w:r>
        <w:rPr>
          <w:i/>
          <w:color w:val="666666"/>
          <w:sz w:val="20"/>
        </w:rPr>
        <w:t>Filling Industrial-Base Gaps Every ~9 Months  ·  Revised 2026-10-06  |  v2: adds Scorpius acquisition benchmark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23272B"/>
          <w:sz w:val="32"/>
        </w:rPr>
        <w:t>1. Massive Transformative Purpose (MTP)</w:t>
      </w:r>
    </w:p>
    <w:p>
      <w:r>
        <w:rPr>
          <w:b w:val="0"/>
          <w:i w:val="0"/>
          <w:sz w:val="20"/>
        </w:rPr>
        <w:t>"Make Every Space Vehicle Reusable."</w:t>
      </w:r>
    </w:p>
    <w:p/>
    <w:p>
      <w:r>
        <w:rPr>
          <w:b w:val="0"/>
          <w:i w:val="0"/>
          <w:sz w:val="20"/>
        </w:rPr>
        <w:t>Exos Aerospace is the enabling Integrated Pressurized Structures (IPS) platform — not a launch provider. IPS is the moon-proven, TRL-9 Type-V composite that overcame cryogenic microcracking; it enables reuse, long-duration cryo storage, zero-loss cryo transfer, refueling/depots, reusable launch/reentry, orbital transfer vehicles, and lunar/cislunar systems. The BLK3 reusable suborbital vehicle is the real-world IPS demonstration, not the headline.</w:t>
      </w:r>
    </w:p>
    <w:p/>
    <w:p>
      <w:r>
        <w:rPr>
          <w:b w:val="0"/>
          <w:i/>
          <w:sz w:val="20"/>
        </w:rPr>
        <w:t>The consortium M&amp;A cadence replaces and exceeds the Scorpius acquisition revenue that the expired ROFR took off the table. The ROFR expired 2026-10-06; no Exos acquisition of SSLC/Scorpius is being pursued. Instead, each ~9-month consortium cycle targets a capability gap and adds a revenue stream that, in aggregate, is designed to exceed the $21M Y5 revenue the v12 Scorpius acquisition model projected. The single Scorpius/SSLC commission stream (15% sales commission, Exos 18% passive equity retained) is retained as a stable annuity but is not the growth engine — the consortium M&amp;A cadence is. See benchmark table and chart below (Section 5a).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23272B"/>
          <w:sz w:val="32"/>
        </w:rPr>
        <w:t>2. Consortium Model — Exos as Prime Integrator</w:t>
      </w:r>
    </w:p>
    <w:p>
      <w:r>
        <w:rPr>
          <w:b w:val="0"/>
          <w:i w:val="0"/>
          <w:sz w:val="20"/>
        </w:rPr>
        <w:t>Exos holds the prime-integration layer: single ITAR/CUI compliance boundary (GCC High via Atomus), the capacity-of-record for cryo structures, the FAA-licensed reusable test platform, and the AI-native operating layer (Mission Control + governed agent fleet). Partners supply specialized scope FFP and keep their IP and other customers. Exos is the orchestration node, not a single-revenue rocket company.</w:t>
      </w:r>
    </w:p>
    <w:p/>
    <w:p>
      <w:r>
        <w:rPr>
          <w:b/>
          <w:i w:val="0"/>
          <w:sz w:val="20"/>
        </w:rPr>
        <w:t>Governance model per partner node:</w:t>
      </w:r>
    </w:p>
    <w:p>
      <w:pPr>
        <w:pStyle w:val="ListBullet"/>
      </w:pPr>
      <w:r>
        <w:rPr>
          <w:sz w:val="20"/>
        </w:rPr>
        <w:t>Master instrument: 2-page MNDA + IP split + non-circumvention + scope-bounded FFP + exclusivity window + exit clause.</w:t>
      </w:r>
    </w:p>
    <w:p>
      <w:pPr>
        <w:pStyle w:val="ListBullet"/>
      </w:pPr>
      <w:r>
        <w:rPr>
          <w:sz w:val="20"/>
        </w:rPr>
        <w:t>Per-pursuit: 1-page FFP Work Order. Vehicle menu: Teaming Agreement → FFP subcontract · standing Consortium MOU · JV · License.</w:t>
      </w:r>
    </w:p>
    <w:p>
      <w:pPr>
        <w:pStyle w:val="ListBullet"/>
      </w:pPr>
      <w:r>
        <w:rPr>
          <w:sz w:val="20"/>
        </w:rPr>
        <w:t>Each partner quotes its own scope FFP, keeps autonomy, IP, and other customers.</w:t>
      </w:r>
    </w:p>
    <w:p>
      <w:pPr>
        <w:pStyle w:val="ListBullet"/>
      </w:pPr>
      <w:r>
        <w:rPr>
          <w:sz w:val="20"/>
        </w:rPr>
        <w:t>Exos retains the prime contract, integration margin, and the contingency/backup bench.</w:t>
      </w:r>
    </w:p>
    <w:p/>
    <w:p>
      <w:r>
        <w:rPr>
          <w:b/>
          <w:i w:val="0"/>
          <w:sz w:val="20"/>
        </w:rPr>
        <w:t>Six advantages that make Exos the integrator, not an interchangeable node:</w:t>
      </w:r>
    </w:p>
    <w:p>
      <w:pPr>
        <w:pStyle w:val="ListBullet"/>
      </w:pPr>
      <w:r>
        <w:rPr>
          <w:sz w:val="20"/>
        </w:rPr>
        <w:t>TRL-9 IPS (Scorpius Type-V, lunar-flown on Odysseus and Athena — management-characterized; Intuitive Machines public filings are the primary source for IM mission heritage).</w:t>
      </w:r>
    </w:p>
    <w:p>
      <w:pPr>
        <w:pStyle w:val="ListBullet"/>
      </w:pPr>
      <w:r>
        <w:rPr>
          <w:sz w:val="20"/>
        </w:rPr>
        <w:t>Zero-loss cryo transfer architecture (Princeton Cryogenics / David Money — management assumption; unverified externally).</w:t>
      </w:r>
    </w:p>
    <w:p>
      <w:pPr>
        <w:pStyle w:val="ListBullet"/>
      </w:pPr>
      <w:r>
        <w:rPr>
          <w:sz w:val="20"/>
        </w:rPr>
        <w:t>Reusable-launch validation: FAA-licensed BLK3, Exos flight heritage since 2018 (SARGE). BLK3 not yet flown; first commercial BLK3 flight targeted early 2027.</w:t>
      </w:r>
    </w:p>
    <w:p>
      <w:pPr>
        <w:pStyle w:val="ListBullet"/>
      </w:pPr>
      <w:r>
        <w:rPr>
          <w:sz w:val="20"/>
        </w:rPr>
        <w:t>Consortium capacity (acquire/JV/license/partner cadence — this document).</w:t>
      </w:r>
    </w:p>
    <w:p>
      <w:pPr>
        <w:pStyle w:val="ListBullet"/>
      </w:pPr>
      <w:r>
        <w:rPr>
          <w:sz w:val="20"/>
        </w:rPr>
        <w:t>AI-native operating platform (Mission Control + governed agent fleet). Instantiated 2026; active build-out.</w:t>
      </w:r>
    </w:p>
    <w:p>
      <w:pPr>
        <w:pStyle w:val="ListBullet"/>
      </w:pPr>
      <w:r>
        <w:rPr>
          <w:sz w:val="20"/>
        </w:rPr>
        <w:t>Industry-wide reusability demand (SpaceX opened the market; prime manifests are full — source: SpaceX public manifest and press; management assessment of demand trend).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23272B"/>
          <w:sz w:val="32"/>
        </w:rPr>
        <w:t>3. Repeatable M&amp;A / Commercialization Cadence (~9-Month Cycles)</w:t>
      </w:r>
    </w:p>
    <w:p>
      <w:r>
        <w:rPr>
          <w:b w:val="0"/>
          <w:i w:val="0"/>
          <w:sz w:val="20"/>
        </w:rPr>
        <w:t>Each cycle follows the same four-phase pipeline. The ~9-month clock starts at the Engage gate and ends at Integration Complete / First Revenue: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color w:val="005B9E"/>
              </w:rPr>
              <w:t>Phase</w:t>
            </w:r>
          </w:p>
        </w:tc>
        <w:tc>
          <w:tcPr>
            <w:tcW w:type="dxa" w:w="2340"/>
          </w:tcPr>
          <w:p>
            <w:r>
              <w:rPr>
                <w:b/>
                <w:color w:val="005B9E"/>
              </w:rPr>
              <w:t>Months</w:t>
            </w:r>
          </w:p>
        </w:tc>
        <w:tc>
          <w:tcPr>
            <w:tcW w:type="dxa" w:w="2340"/>
          </w:tcPr>
          <w:p>
            <w:r>
              <w:rPr>
                <w:b/>
                <w:color w:val="005B9E"/>
              </w:rPr>
              <w:t>Exit Gate</w:t>
            </w:r>
          </w:p>
        </w:tc>
        <w:tc>
          <w:tcPr>
            <w:tcW w:type="dxa" w:w="2340"/>
          </w:tcPr>
          <w:p>
            <w:r>
              <w:rPr>
                <w:b/>
                <w:color w:val="005B9E"/>
              </w:rPr>
              <w:t>Owner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  Engage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M0–M1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NDA executed; initial fit confirmed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Jon + Exo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  Diligence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M1–M3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DD PASS; no disqualifying export/ITAR; price range set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Exo (scripts/third_party_fit_scorer + DD dossier)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  Structure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M3–M6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LOI or term sheet signed; consideration mix locked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Jon + Keyes (Counsel, pre-signature only)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  Close + Integrate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M6–M9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Docs executed; first revenue contribution logged in MC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Jon + Exo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Repeat →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Next gap enters Engage while prior cycle is in Integrate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0"/>
        </w:rPr>
        <w:t>Classification logic:</w:t>
      </w:r>
    </w:p>
    <w:p>
      <w:pPr>
        <w:pStyle w:val="ListBullet"/>
      </w:pPr>
      <w:r>
        <w:rPr>
          <w:sz w:val="20"/>
        </w:rPr>
        <w:t>Acquire: full-ownership M&amp;A; use stock currency (post-RTO/Series A) where possible to conserve cash.</w:t>
      </w:r>
    </w:p>
    <w:p>
      <w:pPr>
        <w:pStyle w:val="ListBullet"/>
      </w:pPr>
      <w:r>
        <w:rPr>
          <w:sz w:val="20"/>
        </w:rPr>
        <w:t>Partner/supply: consortium teaming with FFP subcontract; no ownership change required.</w:t>
      </w:r>
    </w:p>
    <w:p>
      <w:pPr>
        <w:pStyle w:val="ListBullet"/>
      </w:pPr>
      <w:r>
        <w:rPr>
          <w:sz w:val="20"/>
        </w:rPr>
        <w:t>License: IP-only deal, fastest cash impact, lowest integration cost (~M3–M6 close).</w:t>
      </w:r>
    </w:p>
    <w:p>
      <w:pPr>
        <w:pStyle w:val="ListBullet"/>
      </w:pPr>
      <w:r>
        <w:rPr>
          <w:sz w:val="20"/>
        </w:rPr>
        <w:t>JV: shared-ownership operating entity; deploy when neither side will full-sell.</w:t>
      </w:r>
    </w:p>
    <w:p>
      <w:r>
        <w:rPr>
          <w:b w:val="0"/>
          <w:i/>
          <w:sz w:val="20"/>
        </w:rPr>
        <w:t>Funded-vs-demonstrated gate (hard rule): every cycle's projected revenue is labeled 'funded / in pursuit' or 'demonstrated / contracted.' Projections in the financial model use management assumptions for new deal revenue; see Assumptions sheet in v15.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23272B"/>
          <w:sz w:val="32"/>
        </w:rPr>
        <w:t>4. Candidate Gap Pipeline</w:t>
      </w:r>
    </w:p>
    <w:p>
      <w:r>
        <w:rPr>
          <w:b w:val="0"/>
          <w:i/>
          <w:sz w:val="20"/>
        </w:rPr>
        <w:t>All entries below are CANDIDATES drawn from the live Capability-Gap Ledger (mission-control/data/capability-gaps.json) and the third-party fit-scorer. They are UNVERIFIED and NOT CONTACTED for M&amp;A purpose as of this document date. None of the deal values, multiples, or revenue contributions below are sourced figures — they are management assumptions (labeled MA-unverified). No external communication has been initiated.</w:t>
      </w:r>
    </w:p>
    <w:p/>
    <w:p>
      <w:pPr>
        <w:pStyle w:val="Heading3"/>
      </w:pPr>
      <w:r>
        <w:rPr>
          <w:b/>
          <w:color w:val="23272B"/>
          <w:sz w:val="22"/>
        </w:rPr>
        <w:t xml:space="preserve">  Gap: Composite structures mfg scale + tooling  [GAP-7dfa]  ·  partner → supply</w:t>
      </w:r>
    </w:p>
    <w:p>
      <w:r>
        <w:rPr>
          <w:b/>
          <w:i w:val="0"/>
          <w:sz w:val="20"/>
        </w:rPr>
        <w:t>Candidate: Southwest Composite Works (SWC), Albuquerque NM</w:t>
      </w:r>
    </w:p>
    <w:p>
      <w:r>
        <w:rPr>
          <w:b w:val="0"/>
          <w:i w:val="0"/>
          <w:sz w:val="20"/>
        </w:rPr>
        <w:t>~30-yr domestic ITAR-compliant (since 2022) composites + tooling shop near Sandia. Carley Hendren POC (carley@swcompositeworks.com). DD: PASS on ledger. Fills BLK3/BLK4 second-source + surge bench under an Exos-prime FFP teaming node.</w:t>
      </w:r>
    </w:p>
    <w:p>
      <w:r>
        <w:rPr>
          <w:b w:val="0"/>
          <w:i/>
          <w:color w:val="444444"/>
          <w:sz w:val="20"/>
        </w:rPr>
        <w:t>Sequencing: Re-sequenced FIRST (was 'post-Scorpius acquire'): ROFR expired → no Scorpius acquisition path; SWC fills the immediate manufacturing scale gap without an ownership transfer. Structure: Teaming Agreement + FFP supply contract. MA-unverified.</w:t>
      </w:r>
    </w:p>
    <w:p/>
    <w:p>
      <w:pPr>
        <w:pStyle w:val="Heading3"/>
      </w:pPr>
      <w:r>
        <w:rPr>
          <w:b/>
          <w:color w:val="23272B"/>
          <w:sz w:val="22"/>
        </w:rPr>
        <w:t xml:space="preserve">  Gap: Type-5 composite resin + mfg capacity  [GAP-826a / GAP-a447]  ·  buy (re-sequenced)</w:t>
      </w:r>
    </w:p>
    <w:p>
      <w:r>
        <w:rPr>
          <w:b/>
          <w:i w:val="0"/>
          <w:sz w:val="20"/>
        </w:rPr>
        <w:t>Candidate: CTD (Composite Technology Development, Lafayette CO) + Composite Builders LLC (Holland MI)</w:t>
      </w:r>
    </w:p>
    <w:p>
      <w:r>
        <w:rPr>
          <w:b w:val="0"/>
          <w:i w:val="0"/>
          <w:sz w:val="20"/>
        </w:rPr>
        <w:t>CTD: broader materials house (cyanate-ester product lines, origin shop). Ken Runkles warm-path (Stratintelligence). NOTE: SSLC's final resin IP is SSLC-owned, not CTD-dependent — CTD's value is the broader materials platform, NOT the Type-5 resin (correction Jon 8/28/26). Composite Builders: prepreg/infusion carbon-fiber mfg + tooling/fixtures; WOSB; Danielle MacInnes CEO. DD dossier: drafts/DD_Composite_Builders_2026-09-20.docx.</w:t>
      </w:r>
    </w:p>
    <w:p>
      <w:r>
        <w:rPr>
          <w:b w:val="0"/>
          <w:i/>
          <w:color w:val="444444"/>
          <w:sz w:val="20"/>
        </w:rPr>
        <w:t>Sequencing: Re-sequenced SECOND: both were 'post-Scorpius-acquisition' targets; since ROFR expired and no acquisition is pursued, evaluate as standalone materials/capacity roll-ups via Ken Runkles warm path. Consideration mix: cash + stock (post-public-currency). MA-unverified.</w:t>
      </w:r>
    </w:p>
    <w:p/>
    <w:p>
      <w:pPr>
        <w:pStyle w:val="Heading3"/>
      </w:pPr>
      <w:r>
        <w:rPr>
          <w:b/>
          <w:color w:val="23272B"/>
          <w:sz w:val="22"/>
        </w:rPr>
        <w:t xml:space="preserve">  Gap: RDRE flight-weight hardware  [GAP-cebf]  ·  license</w:t>
      </w:r>
    </w:p>
    <w:p>
      <w:r>
        <w:rPr>
          <w:b/>
          <w:i w:val="0"/>
          <w:sz w:val="20"/>
        </w:rPr>
        <w:t>Candidate: NASA MSFC RDRE license or GTL fully-machined RDRE method</w:t>
      </w:r>
    </w:p>
    <w:p>
      <w:r>
        <w:rPr>
          <w:b w:val="0"/>
          <w:i w:val="0"/>
          <w:sz w:val="20"/>
        </w:rPr>
        <w:t>Two trade-study options per HVRR Phase II program (FA9300-25-C-6022). Exos provides the FLIGHT VEHICLE + flight demonstration — Exos does NOT develop/own the RDRE engine hardware (per Jon 9/25). License cost ~$5M (management assumption, MA-unverified). MSFC = primary option; GTL = down-select. Gloyer comms owned by Jon directly.</w:t>
      </w:r>
    </w:p>
    <w:p>
      <w:r>
        <w:rPr>
          <w:b w:val="0"/>
          <w:i/>
          <w:color w:val="444444"/>
          <w:sz w:val="20"/>
        </w:rPr>
        <w:t>Sequencing: Cycle 3: license path (fastest close, no equity dilution). Revenue impact: HVRR Phase II contract execution + follow-on AFRL awards (MA-unverified).</w:t>
      </w:r>
    </w:p>
    <w:p/>
    <w:p>
      <w:pPr>
        <w:pStyle w:val="Heading3"/>
      </w:pPr>
      <w:r>
        <w:rPr>
          <w:b/>
          <w:color w:val="23272B"/>
          <w:sz w:val="22"/>
        </w:rPr>
        <w:t xml:space="preserve">  Gap: Orbital mobility / OTV / in-space transportation  [GAP-4f22 / GAP-3426]  ·  partner or acquire</w:t>
      </w:r>
    </w:p>
    <w:p>
      <w:r>
        <w:rPr>
          <w:b/>
          <w:i w:val="0"/>
          <w:sz w:val="20"/>
        </w:rPr>
        <w:t>Candidate: Momentus Space (NASDAQ: MNTS, Vigoride OTV) and/or Loft Orbital (satellite-as-a-service)</w:t>
      </w:r>
    </w:p>
    <w:p>
      <w:r>
        <w:rPr>
          <w:b w:val="0"/>
          <w:i w:val="0"/>
          <w:sz w:val="20"/>
        </w:rPr>
        <w:t>Momentus: distressed public valuation, Nebula-tank + Juno-RDRE synergy, multi-vector (acquire/consortium/JV/partner/license). Loft: well-capitalized hosted-payload prime — partner/consortium only (NOT acquire). These expand the SSLC tank demand channel beyond IM. Public company (MNTS) — acquirer would need SEC/shareholder path. MA-unverified.</w:t>
      </w:r>
    </w:p>
    <w:p>
      <w:r>
        <w:rPr>
          <w:b w:val="0"/>
          <w:i/>
          <w:color w:val="444444"/>
          <w:sz w:val="20"/>
        </w:rPr>
        <w:t>Sequencing: Cycle 4: post-public-currency or post-Series A. Orbital BLK4-Heavy path is capital-gated; OTV partnership advances the 'Make Every Space Vehicle Reusable' MTP without requiring BLK4-Heavy to be operational. MA-unverified.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23272B"/>
          <w:sz w:val="32"/>
        </w:rPr>
        <w:t>5. Sequenced First 4 Cycles</w:t>
      </w:r>
    </w:p>
    <w:p>
      <w:r>
        <w:rPr>
          <w:b w:val="0"/>
          <w:i w:val="0"/>
          <w:sz w:val="20"/>
        </w:rPr>
        <w:t>Start clock: October 2026 (post-commission-only re-baseline). Each ~9-month cycle is intended to reach 'first revenue contribution' before the next cycle Engages.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color w:val="005B9E"/>
              </w:rPr>
              <w:t>Cycle</w:t>
            </w:r>
          </w:p>
        </w:tc>
        <w:tc>
          <w:tcPr>
            <w:tcW w:type="dxa" w:w="1560"/>
          </w:tcPr>
          <w:p>
            <w:r>
              <w:rPr>
                <w:b/>
                <w:color w:val="005B9E"/>
              </w:rPr>
              <w:t>Window</w:t>
            </w:r>
          </w:p>
        </w:tc>
        <w:tc>
          <w:tcPr>
            <w:tcW w:type="dxa" w:w="1560"/>
          </w:tcPr>
          <w:p>
            <w:r>
              <w:rPr>
                <w:b/>
                <w:color w:val="005B9E"/>
              </w:rPr>
              <w:t>Gap</w:t>
            </w:r>
          </w:p>
        </w:tc>
        <w:tc>
          <w:tcPr>
            <w:tcW w:type="dxa" w:w="1560"/>
          </w:tcPr>
          <w:p>
            <w:r>
              <w:rPr>
                <w:b/>
                <w:color w:val="005B9E"/>
              </w:rPr>
              <w:t>Candidate</w:t>
            </w:r>
          </w:p>
        </w:tc>
        <w:tc>
          <w:tcPr>
            <w:tcW w:type="dxa" w:w="1560"/>
          </w:tcPr>
          <w:p>
            <w:r>
              <w:rPr>
                <w:b/>
                <w:color w:val="005B9E"/>
              </w:rPr>
              <w:t>Mode</w:t>
            </w:r>
          </w:p>
        </w:tc>
        <w:tc>
          <w:tcPr>
            <w:tcW w:type="dxa" w:w="1560"/>
          </w:tcPr>
          <w:p>
            <w:r>
              <w:rPr>
                <w:b/>
                <w:color w:val="005B9E"/>
              </w:rPr>
              <w:t>Revenue Label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C1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Oct 26 – Jun 27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Composite mfg scale (GAP-7dfa / GAP-c9ba)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Southwest Composite Works (candidate, unverified)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Partner / FFP supply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~$200K–$500K/yr supply-chain margin on BLK3 structures (MA-unverified)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C2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Jul 27 – Mar 28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Materials house + tooling capacity (GAP-826a / GAP-a447)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CTD + Composite Builders LLC (candidates, unverified)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Acquire (stock-heavy post-public)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~$1–3M/yr materials throughput + WOSB set-aside revenue (MA-unverified)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C3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Apr 28 – Dec 28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RDRE license (GAP-cebf)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NASA MSFC license or GTL (candidates, unverified)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License ~$5M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HVRR Phase II follow-on + AFRL RDRE awards (MA-unverified)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C4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Jan 29 – Sep 29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OTV / orbital mobility (GAP-4f22 / GAP-3426)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Momentus (MNTS) / Loft Orbital (candidates, unverified)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Acquire or JV (post-public currency)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SSLC tank demand expansion + orbital services margin (MA-unverified)</w:t>
            </w:r>
          </w:p>
        </w:tc>
      </w:tr>
    </w:tbl>
    <w:p/>
    <w:p>
      <w:r>
        <w:rPr>
          <w:b w:val="0"/>
          <w:i/>
          <w:sz w:val="20"/>
        </w:rPr>
        <w:t>Note: Cycles are intended estimates; actual deal velocity depends on counterparty readiness, diligence findings, capital availability, and export/regulatory clearance. All cycle revenue figures are MA-unverified management assumptions.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B2240"/>
        </w:rPr>
        <w:t xml:space="preserve">5a. Scorpius Acquisition Benchmark vs. Consortium M&amp;A (Management Assumptions)</w:t>
      </w:r>
    </w:p>
    <w:p>
      <w:pPr>
        <w:pStyle w:val="Normal"/>
      </w:pPr>
      <w:r>
        <w:rPr/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0B2240"/>
          </w:tcPr>
          <w:p>
            <w:r>
              <w:rPr>
                <w:b/>
                <w:color w:val="FFFFFF"/>
                <w:sz w:val="17"/>
              </w:rPr>
              <w:t>Line Item</w:t>
            </w:r>
          </w:p>
        </w:tc>
        <w:tc>
          <w:tcPr>
            <w:tcW w:type="dxa" w:w="1560"/>
            <w:shd w:val="clear" w:color="auto" w:fill="0B2240"/>
          </w:tcPr>
          <w:p>
            <w:r>
              <w:rPr>
                <w:b/>
                <w:color w:val="FFFFFF"/>
                <w:sz w:val="17"/>
              </w:rPr>
              <w:t>Y1 (FY2027)</w:t>
            </w:r>
          </w:p>
        </w:tc>
        <w:tc>
          <w:tcPr>
            <w:tcW w:type="dxa" w:w="1560"/>
            <w:shd w:val="clear" w:color="auto" w:fill="0B2240"/>
          </w:tcPr>
          <w:p>
            <w:r>
              <w:rPr>
                <w:b/>
                <w:color w:val="FFFFFF"/>
                <w:sz w:val="17"/>
              </w:rPr>
              <w:t>Y2 (FY2028)</w:t>
            </w:r>
          </w:p>
        </w:tc>
        <w:tc>
          <w:tcPr>
            <w:tcW w:type="dxa" w:w="1560"/>
            <w:shd w:val="clear" w:color="auto" w:fill="0B2240"/>
          </w:tcPr>
          <w:p>
            <w:r>
              <w:rPr>
                <w:b/>
                <w:color w:val="FFFFFF"/>
                <w:sz w:val="17"/>
              </w:rPr>
              <w:t>Y3 (FY2029)</w:t>
            </w:r>
          </w:p>
        </w:tc>
        <w:tc>
          <w:tcPr>
            <w:tcW w:type="dxa" w:w="1560"/>
            <w:shd w:val="clear" w:color="auto" w:fill="0B2240"/>
          </w:tcPr>
          <w:p>
            <w:r>
              <w:rPr>
                <w:b/>
                <w:color w:val="FFFFFF"/>
                <w:sz w:val="17"/>
              </w:rPr>
              <w:t>Y4 (FY2030)</w:t>
            </w:r>
          </w:p>
        </w:tc>
        <w:tc>
          <w:tcPr>
            <w:tcW w:type="dxa" w:w="1560"/>
            <w:shd w:val="clear" w:color="auto" w:fill="0B2240"/>
          </w:tcPr>
          <w:p>
            <w:r>
              <w:rPr>
                <w:b/>
                <w:color w:val="FFFFFF"/>
                <w:sz w:val="17"/>
              </w:rPr>
              <w:t>Y5 (FY2031)</w:t>
            </w:r>
          </w:p>
        </w:tc>
      </w:tr>
      <w:tr>
        <w:tc>
          <w:tcPr>
            <w:tcW w:type="dxa" w:w="1560"/>
          </w:tcPr>
          <w:p>
            <w:r>
              <w:rPr>
                <w:b/>
                <w:color w:val="0B2240"/>
                <w:sz w:val="16"/>
              </w:rPr>
              <w:t>REPLACED: Scorpius acquisition revenue (v12 consolidated plan)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$0.9M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$3.5M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$5.25M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$10.5M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$21.0M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Consortium M&amp;A base-case (demonstrated, LOI/close-gated)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$0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$0.2M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$1.7M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$2.7M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$7.7M</w:t>
            </w:r>
          </w:p>
        </w:tc>
      </w:tr>
      <w:tr>
        <w:tc>
          <w:tcPr>
            <w:tcW w:type="dxa" w:w="1560"/>
          </w:tcPr>
          <w:p>
            <w:r>
              <w:rPr>
                <w:color w:val="B71C1C"/>
                <w:sz w:val="16"/>
              </w:rPr>
              <w:t>Gap (consortium minus benchmark)</w:t>
            </w:r>
          </w:p>
        </w:tc>
        <w:tc>
          <w:tcPr>
            <w:tcW w:type="dxa" w:w="1560"/>
          </w:tcPr>
          <w:p>
            <w:r>
              <w:rPr>
                <w:color w:val="B71C1C"/>
                <w:sz w:val="16"/>
              </w:rPr>
              <w:t>−$0.9M</w:t>
            </w:r>
          </w:p>
        </w:tc>
        <w:tc>
          <w:tcPr>
            <w:tcW w:type="dxa" w:w="1560"/>
          </w:tcPr>
          <w:p>
            <w:r>
              <w:rPr>
                <w:color w:val="B71C1C"/>
                <w:sz w:val="16"/>
              </w:rPr>
              <w:t>−$3.3M</w:t>
            </w:r>
          </w:p>
        </w:tc>
        <w:tc>
          <w:tcPr>
            <w:tcW w:type="dxa" w:w="1560"/>
          </w:tcPr>
          <w:p>
            <w:r>
              <w:rPr>
                <w:color w:val="B71C1C"/>
                <w:sz w:val="16"/>
              </w:rPr>
              <w:t>−$3.6M</w:t>
            </w:r>
          </w:p>
        </w:tc>
        <w:tc>
          <w:tcPr>
            <w:tcW w:type="dxa" w:w="1560"/>
          </w:tcPr>
          <w:p>
            <w:r>
              <w:rPr>
                <w:color w:val="B71C1C"/>
                <w:sz w:val="16"/>
              </w:rPr>
              <w:t>−$7.8M</w:t>
            </w:r>
          </w:p>
        </w:tc>
        <w:tc>
          <w:tcPr>
            <w:tcW w:type="dxa" w:w="1560"/>
          </w:tcPr>
          <w:p>
            <w:r>
              <w:rPr>
                <w:color w:val="B71C1C"/>
                <w:sz w:val="16"/>
              </w:rPr>
              <w:t>−$13.3M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% of benchmark closed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0%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6%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32%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26%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37%</w:t>
            </w:r>
          </w:p>
        </w:tc>
      </w:tr>
    </w:tbl>
    <w:p>
      <w:pPr>
        <w:pStyle w:val="Normal"/>
      </w:pPr>
      <w:r>
        <w:rPr/>
        <w:t xml:space="preserve">⚠ MANAGEMENT ASSUMPTION: Benchmark from EXOS_Financial_Model_Full_Revenue_FIXED_v12 ("Scorpius Space Corp — Tank Manufacturing &amp; Related Sales", consolidated post-acquisition). Consortium projections from v15 model — unverified, no LOIs signed as of 2026-10-06. Revenue gated at LOI/close (demonstrated). See Assumptions tab rows 82–96.</w:t>
      </w:r>
    </w:p>
    <w:p>
      <w:pPr>
        <w:pStyle w:val="Normal"/>
      </w:pPr>
      <w:r>
        <w:rPr/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3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rtium_revenue_diversification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3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b/>
          <w:color w:val="23272B"/>
          <w:sz w:val="32"/>
        </w:rPr>
        <w:t>6. Revenue Diversification — Consortium vs. Scorpius Acquisition Benchmark</w:t>
      </w:r>
    </w:p>
    <w:p>
      <w:r>
        <w:rPr>
          <w:b w:val="0"/>
          <w:i w:val="0"/>
          <w:sz w:val="20"/>
        </w:rPr>
        <w:t>The chart and table below compare the consortium M&amp;A base-case revenue ramp against the Scorpius asset-acquisition consolidated revenue plan (v12 model, management assumption). The ROFR acquisition plan projected $21M by Y5 (FY2031). The consortium base-case closes that gap at approximately Year 8 (FY2033) at 40% YoY growth on the Y5 base — approximately 9–10 nine-month cycles from Oct-2026. Management assumption; see caveat in Assumptions tab.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color w:val="005B9E"/>
              </w:rPr>
              <w:t>Year</w:t>
            </w:r>
          </w:p>
        </w:tc>
        <w:tc>
          <w:tcPr>
            <w:tcW w:type="dxa" w:w="1872"/>
          </w:tcPr>
          <w:p>
            <w:r>
              <w:rPr>
                <w:b/>
                <w:color w:val="005B9E"/>
              </w:rPr>
              <w:t>SSLC Commission ($K)</w:t>
            </w:r>
          </w:p>
        </w:tc>
        <w:tc>
          <w:tcPr>
            <w:tcW w:type="dxa" w:w="1872"/>
          </w:tcPr>
          <w:p>
            <w:r>
              <w:rPr>
                <w:b/>
                <w:color w:val="005B9E"/>
              </w:rPr>
              <w:t>Consortium / M&amp;A ($K)</w:t>
            </w:r>
          </w:p>
        </w:tc>
        <w:tc>
          <w:tcPr>
            <w:tcW w:type="dxa" w:w="1872"/>
          </w:tcPr>
          <w:p>
            <w:r>
              <w:rPr>
                <w:b/>
                <w:color w:val="005B9E"/>
              </w:rPr>
              <w:t>Other Exos ($K)</w:t>
            </w:r>
          </w:p>
        </w:tc>
        <w:tc>
          <w:tcPr>
            <w:tcW w:type="dxa" w:w="1872"/>
          </w:tcPr>
          <w:p>
            <w:r>
              <w:rPr>
                <w:b/>
                <w:color w:val="005B9E"/>
              </w:rPr>
              <w:t>SSLC % of Total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Y1 (Jul26–Jun27)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1,800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Y2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3,200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Y3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5,000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Y4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293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1,500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7,500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Y5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375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3,500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12,000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Y6 (directional)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450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7,000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20,000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2%</w:t>
            </w:r>
          </w:p>
        </w:tc>
      </w:tr>
    </w:tbl>
    <w:p/>
    <w:p>
      <w:r>
        <w:rPr>
          <w:b w:val="0"/>
          <w:i/>
          <w:sz w:val="20"/>
        </w:rPr>
        <w:t>Visual narrative: the Scorpius 15% commission is a stable, low-risk annuity shown as a separate small line. The growth story is the consortium M&amp;A cadence (stacked bars). The dashed line is the REPLACED Scorpius acquisition revenue benchmark — the revenue the expired ROFR acquisition plan would have delivered. Consortium crossover target: Y8 (FY2033). ⚠ All figures are management assumptions (v12/v15 model), not audited.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23272B"/>
          <w:sz w:val="32"/>
        </w:rPr>
        <w:t>7. Key Assumptions (see v15 Assumptions sheet for full detail)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005B9E"/>
              </w:rPr>
              <w:t>Assumption</w:t>
            </w:r>
          </w:p>
        </w:tc>
        <w:tc>
          <w:tcPr>
            <w:tcW w:type="dxa" w:w="3120"/>
          </w:tcPr>
          <w:p>
            <w:r>
              <w:rPr>
                <w:b/>
                <w:color w:val="005B9E"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  <w:color w:val="005B9E"/>
              </w:rPr>
              <w:t>Source / Label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Deal cadence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~9 months per gap cycle (Engage → First Revenue)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Management assumption — unverified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Per-deal revenue add (avg, Y1–Y5)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$200K–$3.5M depending on deal type; see revenue table above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Management assumption — unverified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Purchase multiples (acquire)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3–5× revenue; 8–12× EBITDA for targets &lt;$20M revenue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Management assumption — unverified; comparable public M&amp;A multiples for small-cap aerospace composites as of 2024: 6–10× EBITDA (no direct source available)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Integration costs per deal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~$150K–$400K (legal, diligence, integration labor)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Management assumption — unverified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Consideration mix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~40% cash / 40% stock / 20% earnout (targets &lt;$20M EV); stock requires post-RTO or post-Series-A public currency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Management assumption — unverified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Ramp curve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12–18 months from close to full revenue contribution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Management assumption — unverified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Scorpius commission base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15% on third-party tank sales; 15% rebate credit on Exos own buys; 18% passive equity carried at cost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Per commission-only agreement 2026-10-06 (internal docs)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Funded vs demonstrated gate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All M&amp;A revenue is labeled 'pursuit/funded' until LOI signed; 'contracted' at close; 'demonstrated' at first revenue received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Hard rule per feedback_demonstrated_vs_funded_gate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BLK3 first commercial flight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Targeted early 2027 (FAA-licensed; not yet flown)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Exos internal program status — management-characterized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BLK4-Heavy orbital path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Capital-gated; 3-core parallel stick; not operational — in development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Management assumption — BLK4 not yet designed or funded</w:t>
            </w:r>
          </w:p>
        </w:tc>
      </w:tr>
    </w:tbl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23272B"/>
          <w:sz w:val="32"/>
        </w:rPr>
        <w:t>8. Governance &amp; Immediate Next Steps</w:t>
      </w:r>
    </w:p>
    <w:p>
      <w:r>
        <w:rPr>
          <w:b w:val="0"/>
          <w:i w:val="0"/>
          <w:sz w:val="20"/>
        </w:rPr>
        <w:t>Pending Decision — Adopt v15 consortium MTP + model (Jon approval):</w:t>
      </w:r>
    </w:p>
    <w:p>
      <w:pPr>
        <w:pStyle w:val="ListBullet"/>
      </w:pPr>
      <w:r>
        <w:rPr>
          <w:sz w:val="20"/>
        </w:rPr>
        <w:t>Jon approves v15 model + this MTP document as canonical (Decision card posted).</w:t>
      </w:r>
    </w:p>
    <w:p>
      <w:pPr>
        <w:pStyle w:val="ListBullet"/>
      </w:pPr>
      <w:r>
        <w:rPr>
          <w:sz w:val="20"/>
        </w:rPr>
        <w:t>Exo initiates C1 Engage for Southwest Composite Works: confirm Carley Hendren contact, send MNDA under Jon's instruction.</w:t>
      </w:r>
    </w:p>
    <w:p>
      <w:pPr>
        <w:pStyle w:val="ListBullet"/>
      </w:pPr>
      <w:r>
        <w:rPr>
          <w:sz w:val="20"/>
        </w:rPr>
        <w:t>Exo re-sequences CTD engagement: brief Jon on Ken Runkles warm-path timing vs. capital availability.</w:t>
      </w:r>
    </w:p>
    <w:p>
      <w:pPr>
        <w:pStyle w:val="ListBullet"/>
      </w:pPr>
      <w:r>
        <w:rPr>
          <w:sz w:val="20"/>
        </w:rPr>
        <w:t>Exo adds consortium cycle tracking to Mission Control capability-gaps.html (status field: Cycle / Phase / ETC).</w:t>
      </w:r>
    </w:p>
    <w:p>
      <w:pPr>
        <w:pStyle w:val="ListBullet"/>
      </w:pPr>
      <w:r>
        <w:rPr>
          <w:sz w:val="20"/>
        </w:rPr>
        <w:t>v15 model reviewed by Jon; any restated figures flow to Series A data room.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/>
          <w:color w:val="999999"/>
          <w:sz w:val="20"/>
        </w:rPr>
        <w:t>CONFIDENTIAL — FOR INTERNAL USE ONLY. This document contains forward-looking statements based on management assumptions. It is not an offering document. All M&amp;A targets are labeled candidates, unverified, and not contacted as of 2026-10-06. No external communication regarding any acquisition has been initiated. Counsel (Keyes) is engaged only at ready-to-sign documents.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584" w:right="1440" w:bottom="151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7F6FC7E1" w14:textId="041F3336" w:rsidR="00153AFE" w:rsidRDefault="00153AFE" w:rsidP="00153AFE">
    <w:pPr>
      <w:pStyle w:val="Footer"/>
    </w:pPr>
  </w:p>
  <w:p w14:paraId="7E53FDB1" w14:textId="05BAE708" w:rsidR="00153AFE" w:rsidRPr="00AD1D32" w:rsidRDefault="00153AFE" w:rsidP="00153AFE">
    <w:pPr>
      <w:pStyle w:val="Footer"/>
    </w:pPr>
  </w:p>
  <w:p w14:paraId="5BED68FB" w14:textId="3BFC5E88" w:rsidR="00153AFE" w:rsidRDefault="005205E5" w:rsidP="005205E5">
    <w:pPr>
      <w:pStyle w:val="Footer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7387259" wp14:editId="5BC35EEC">
          <wp:simplePos x="0" y="0"/>
          <wp:positionH relativeFrom="page">
            <wp:align>right</wp:align>
          </wp:positionH>
          <wp:positionV relativeFrom="paragraph">
            <wp:posOffset>63690</wp:posOffset>
          </wp:positionV>
          <wp:extent cx="3425190" cy="561150"/>
          <wp:effectExtent l="0" t="0" r="0" b="0"/>
          <wp:wrapNone/>
          <wp:docPr id="1274565867" name="Picture 1274565867" descr="exos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xosletterhead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5190" cy="561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6110C9F5" w14:textId="096499BE" w:rsidR="00147251" w:rsidRPr="000E6BAA" w:rsidRDefault="00147251" w:rsidP="00147251">
    <w:pPr>
      <w:pStyle w:val="Header"/>
      <w:tabs>
        <w:tab w:val="left" w:pos="2874"/>
        <w:tab w:val="right" w:pos="4680"/>
        <w:tab w:val="right" w:pos="10224"/>
      </w:tabs>
      <w:rPr>
        <w:rFonts w:ascii="Tahoma" w:hAnsi="Tahoma" w:cs="Tahoma"/>
        <w:color w:val="808080" w:themeColor="background1" w:themeShade="80"/>
      </w:rPr>
    </w:pPr>
    <w:r w:rsidRPr="000E6BAA">
      <w:rPr>
        <w:rFonts w:ascii="Tahoma" w:hAnsi="Tahoma" w:cs="Tahoma"/>
        <w:noProof/>
        <w:color w:val="808080" w:themeColor="background1" w:themeShade="80"/>
      </w:rPr>
      <w:drawing>
        <wp:anchor distT="0" distB="0" distL="114300" distR="114300" simplePos="0" relativeHeight="251658240" behindDoc="1" locked="0" layoutInCell="1" allowOverlap="1" wp14:anchorId="24C38B4E" wp14:editId="74402038">
          <wp:simplePos x="0" y="0"/>
          <wp:positionH relativeFrom="column">
            <wp:posOffset>-902970</wp:posOffset>
          </wp:positionH>
          <wp:positionV relativeFrom="paragraph">
            <wp:posOffset>-468629</wp:posOffset>
          </wp:positionV>
          <wp:extent cx="2880360" cy="594844"/>
          <wp:effectExtent l="0" t="0" r="0" b="0"/>
          <wp:wrapNone/>
          <wp:docPr id="624236723" name="Picture 624236723" descr="exos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xosletterhead_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6129" cy="598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</w:p>
  <w:p w14:paraId="77BB0A6B" w14:textId="1AFFC7D2" w:rsidR="000E6BAA" w:rsidRPr="000E6BAA" w:rsidRDefault="000E6BAA" w:rsidP="00BD08F1">
    <w:pPr>
      <w:pStyle w:val="Header"/>
      <w:jc w:val="center"/>
      <w:rPr>
        <w:rFonts w:ascii="Tahoma" w:hAnsi="Tahoma" w:cs="Tahoma"/>
        <w:color w:val="808080" w:themeColor="background1" w:themeShade="80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