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(① + equity)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earn-out: 5% of SSLC's IM tank</w:t>
            </w:r>
            <w:r>
              <w:br/>
            </w:r>
            <w:r>
              <w:rPr>
                <w:sz w:val="16"/>
              </w:rPr>
              <w:t>revenue/yr, cap $300K/yr, FY27–FY31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Single 5% rate; scenario = revenue</w:t>
            </w:r>
            <w:r>
              <w:br/>
            </w:r>
            <w:r>
              <w:rPr>
                <w:sz w:val="16"/>
              </w:rPr>
              <w:t>SSLC achieves: Low $3M/yr → $150K/yr;</w:t>
            </w:r>
            <w:r>
              <w:br/>
            </w:r>
            <w:r>
              <w:rPr>
                <w:sz w:val="16"/>
              </w:rPr>
              <w:t>Base $5M/yr → $250K/yr;</w:t>
            </w:r>
            <w:r>
              <w:br/>
            </w:r>
            <w:r>
              <w:rPr>
                <w:sz w:val="16"/>
              </w:rPr>
              <w:t>High $6M+/yr → $300K/yr (cap)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$9,460K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$12.0M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$15.8M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$19.4M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keepNext/>
        <w:spacing w:after="40" w:before="60"/>
      </w:pPr>
      <w:r>
        <w:rPr>
          <w:b/>
          <w:i w:val="0"/>
          <w:color w:val="2E75B6"/>
          <w:sz w:val="21"/>
        </w:rPr>
        <w:t>Earn-Out Targets: FY27–FY31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2232"/>
        <w:gridCol w:w="1224"/>
        <w:gridCol w:w="1224"/>
        <w:gridCol w:w="1224"/>
        <w:gridCol w:w="1224"/>
      </w:tblGrid>
      <w:tr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Earn-out</w:t>
            </w:r>
          </w:p>
        </w:tc>
        <w:tc>
          <w:tcPr>
            <w:tcW w:type="dxa" w:w="2232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Target SSLC must hit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Pays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Tank earn-out</w:t>
            </w:r>
            <w:r>
              <w:br/>
            </w:r>
            <w:r>
              <w:rPr>
                <w:sz w:val="16"/>
              </w:rPr>
              <w:t>5% of IM tank revenue/yr,</w:t>
            </w:r>
            <w:r>
              <w:br/>
            </w:r>
            <w:r>
              <w:rPr>
                <w:sz w:val="16"/>
              </w:rPr>
              <w:t>cap $300K/yr, FY27–FY31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Revenue SSLC achieves</w:t>
            </w:r>
            <w:r>
              <w:br/>
            </w:r>
            <w:r>
              <w:rPr>
                <w:sz w:val="16"/>
              </w:rPr>
              <w:t>each year FY27–FY31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$3.0M/yr</w:t>
            </w:r>
            <w:r>
              <w:br/>
            </w:r>
            <w:r>
              <w:rPr>
                <w:sz w:val="16"/>
              </w:rPr>
              <w:t>→ $150K/yr</w:t>
            </w:r>
            <w:r>
              <w:br/>
            </w:r>
            <w:r>
              <w:rPr>
                <w:sz w:val="16"/>
              </w:rPr>
              <w:t>→ $750K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$5.0M/yr</w:t>
            </w:r>
            <w:r>
              <w:br/>
            </w:r>
            <w:r>
              <w:rPr>
                <w:sz w:val="16"/>
              </w:rPr>
              <w:t>→ $250K/yr</w:t>
            </w:r>
            <w:r>
              <w:br/>
            </w:r>
            <w:r>
              <w:rPr>
                <w:sz w:val="16"/>
              </w:rPr>
              <w:t>→ $1.25M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$6.0M+/yr</w:t>
            </w:r>
            <w:r>
              <w:br/>
            </w:r>
            <w:r>
              <w:rPr>
                <w:sz w:val="16"/>
              </w:rPr>
              <w:t>→ $300K/yr (cap)</w:t>
            </w:r>
            <w:r>
              <w:br/>
            </w:r>
            <w:r>
              <w:rPr>
                <w:sz w:val="16"/>
              </w:rPr>
              <w:t>→ $1.5M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Annual,</w:t>
            </w:r>
            <w:r>
              <w:br/>
            </w:r>
            <w:r>
              <w:rPr>
                <w:sz w:val="16"/>
              </w:rPr>
              <w:t>FY27–FY31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M1: SSLC FY2026-27 rev ≥ $5.1M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FY27 annual revenue ≥ $5.1M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FY28 Q1</w:t>
            </w:r>
            <w:r>
              <w:br/>
            </w:r>
            <w:r>
              <w:rPr>
                <w:color w:val="000000"/>
                <w:sz w:val="16"/>
              </w:rPr>
              <w:t>(if verified)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M2: Nebula/OTV production contract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contract</w:t>
            </w:r>
            <w:r>
              <w:br/>
            </w:r>
            <w:r>
              <w:rPr>
                <w:color w:val="000000"/>
                <w:sz w:val="16"/>
              </w:rPr>
              <w:t>execution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M3: SSLC annual rev ≥ $10M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$10M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FY29)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M4: SSLC annual rev ≥ $20M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$20M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FY31)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M5: BLK3 tank qualification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Exos BLK3 tank</w:t>
            </w:r>
            <w:r>
              <w:br/>
            </w:r>
            <w:r>
              <w:rPr>
                <w:sz w:val="16"/>
              </w:rPr>
              <w:t>qualification complete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BLK3 cert</w:t>
            </w:r>
            <w:r>
              <w:br/>
            </w:r>
            <w:r>
              <w:rPr>
                <w:color w:val="000000"/>
                <w:sz w:val="16"/>
              </w:rPr>
              <w:t>(est. FY27–28)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Exos stock earn-out at RTO listing</w:t>
            </w:r>
            <w:r>
              <w:br/>
            </w:r>
            <w:r>
              <w:rPr>
                <w:sz w:val="16"/>
              </w:rPr>
              <w:t>(additional to ~0.59% EAI up-front)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Issued at RTO listing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$0</w:t>
            </w:r>
            <w:r>
              <w:br/>
            </w:r>
            <w:r>
              <w:rPr>
                <w:sz w:val="16"/>
              </w:rPr>
              <w:t>(0.0%)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$625K</w:t>
            </w:r>
            <w:r>
              <w:br/>
            </w:r>
            <w:r>
              <w:rPr>
                <w:sz w:val="16"/>
              </w:rPr>
              <w:t>(0.25%)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$1,500K</w:t>
            </w:r>
            <w:r>
              <w:br/>
            </w:r>
            <w:r>
              <w:rPr>
                <w:sz w:val="16"/>
              </w:rPr>
              <w:t>(0.50%)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Post-RTO</w:t>
            </w:r>
            <w:r>
              <w:br/>
            </w:r>
            <w:r>
              <w:rPr>
                <w:sz w:val="16"/>
              </w:rPr>
              <w:t>~FY29</w:t>
            </w:r>
          </w:p>
        </w:tc>
      </w:tr>
      <w:tr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TOTAL EARN-OUTS (5-yr, ③ minus ②)</w:t>
            </w:r>
          </w:p>
        </w:tc>
        <w:tc>
          <w:tcPr>
            <w:tcW w:type="dxa" w:w="2232"/>
            <w:shd w:val="clear" w:color="auto" w:fill="D1FAE5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$950K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$2,525K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$4,100K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</w:tr>
    </w:tbl>
    <w:p>
      <w:pPr>
        <w:spacing w:after="4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Earn-out totals verified: Low $750K+$200K+$0=$950K ✓  Base $1,250K+$650K+$625K=$2,525K ✓  High $1,500K+$1,100K+$1,500K=$4,100K ✓  (each = ③ minus ② = ③ minus $5,360K)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EAI units: $1.0M fixed (~0.59% FD) issued as part of Rule 504 offering at close; part of RTO public float; freely tradeable at listing (no lockup). Earn-out stock (0.0–0.5% additional) at RTO listing. Full model: EXOS_SSLC_OptionB_Acquisition_Model_2026-10-07.xlsx → 'EAI Lockup &amp; Liquidity' and 'Total Compensation' sheets.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Rule 504: $1.0M toward $10M rolling 12-month cap; U.S.-only (Japan round is Reg S — keep distinct). EAI timeline: committed at board acceptance → issued at financing close (Q1 FY27 targeted) → freely tradeable at RTO listing (targeted ~6 mo post-close; not assured). Full detail: model → 'EAI Lockup &amp; Liquidity' sheet.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Full model: EXOS_SSLC_OptionB_Acquisition_Model_2026-10-07.xlsx  ·  With-vs-Without: sheet 'With vs Without Exos Capital'  ·  Eqvista fairness opinion: engaged 8/14/2026; agreement still unsigned (held ~1 month). Projections are forward-looking (SEC Rule 10b-5 applies); RTO stock projection (mgmt assumption, not a guarantee): see model 'Total Compensation' / 'Returns and Dilution'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