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9,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/>
          <w:color w:val="2E75B6"/>
          <w:sz w:val="19"/>
        </w:rPr>
        <w:t>Up-front price reflects today's numbers; earn-outs let SSLC holders share directly in tank deliveries, revenue milestones, and the Exos listing.</w:t>
      </w:r>
    </w:p>
    <w:p>
      <w:pPr>
        <w:spacing w:after="40" w:before="0"/>
      </w:pPr>
      <w:r>
        <w:rPr>
          <w:b w:val="0"/>
          <w:i/>
          <w:color w:val="606060"/>
          <w:sz w:val="15"/>
        </w:rPr>
        <w:t>Earn-out rows: negotiating terms — management assumptions. Each milestone is independently verifiable; none pay unless the trigger is met.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1152"/>
        <w:gridCol w:w="1152"/>
        <w:gridCol w:w="1152"/>
        <w:gridCol w:w="2664"/>
      </w:tblGrid>
      <w:tr>
        <w:tc>
          <w:tcPr>
            <w:tcW w:type="dxa" w:w="3240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When / Notes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Cash at close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target Feb 15th (~Q1 FY27)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transaction costs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seller-side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Credit for Exos's existing stake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(non-cash credit)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debts paid at face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~$500K TBV in QB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Working-capital bridge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① Cash &amp; debt relief at close — target by Feb 15th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  <w:t>Cash + costs + stake credit + debts + WC bridge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+ Exos equity — $1.0M fixed EAI units</w:t>
            </w:r>
            <w:r>
              <w:br/>
            </w:r>
            <w:r>
              <w:rPr>
                <w:sz w:val="16"/>
              </w:rPr>
              <w:t>(Rule 504, ~0.59% at 409A ~$170M)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EAI units issued as part of Exos's</w:t>
            </w:r>
            <w:r>
              <w:br/>
            </w:r>
            <w:r>
              <w:rPr>
                <w:sz w:val="16"/>
              </w:rPr>
              <w:t>Rule 504 offering, at the 409A value;</w:t>
            </w:r>
            <w:r>
              <w:br/>
            </w:r>
            <w:r>
              <w:rPr>
                <w:sz w:val="16"/>
              </w:rPr>
              <w:t>$1.0M counts toward Rule 504 $10M cap;</w:t>
            </w:r>
            <w:r>
              <w:br/>
            </w:r>
            <w:r>
              <w:rPr>
                <w:sz w:val="16"/>
              </w:rPr>
              <w:t>issued at financing 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② Total at financing close (SSLC asset acquisition)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$5,360K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  <w:t>Target: Feb 15th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Tank earn-out: 5% of SSLC's IM tank</w:t>
            </w:r>
            <w:r>
              <w:br/>
            </w:r>
            <w:r>
              <w:rPr>
                <w:sz w:val="16"/>
              </w:rPr>
              <w:t>revenue/yr, cap $300K/yr, FY27–FY31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$1,250K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Single 5% rate; scenario = revenue</w:t>
            </w:r>
            <w:r>
              <w:br/>
            </w:r>
            <w:r>
              <w:rPr>
                <w:sz w:val="16"/>
              </w:rPr>
              <w:t>SSLC achieves: Low $3M/yr → $150K/yr;</w:t>
            </w:r>
            <w:r>
              <w:br/>
            </w:r>
            <w:r>
              <w:rPr>
                <w:sz w:val="16"/>
              </w:rPr>
              <w:t>Base $5M/yr → $250K/yr;</w:t>
            </w:r>
            <w:r>
              <w:br/>
            </w:r>
            <w:r>
              <w:rPr>
                <w:sz w:val="16"/>
              </w:rPr>
              <w:t>High $6M+/yr → $300K/yr (cap)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M1: SSLC FY2026-27 rev</w:t>
            </w:r>
            <w:r>
              <w:br/>
            </w:r>
            <w:r>
              <w:rPr>
                <w:sz w:val="16"/>
              </w:rPr>
              <w:t>≥$5.1M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FY28 Q1 if verified</w:t>
            </w:r>
            <w:r>
              <w:br/>
            </w:r>
            <w:r>
              <w:rPr>
                <w:sz w:val="16"/>
              </w:rPr>
              <w:t>(all scenarios: mgmt base case)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M2: Nebula OTV flight tank set</w:t>
            </w:r>
            <w:r>
              <w:br/>
            </w:r>
            <w:r>
              <w:rPr>
                <w:sz w:val="16"/>
              </w:rPr>
              <w:t>delivered &amp; accepted by Intuitive Machines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customer acceptance</w:t>
            </w:r>
            <w:r>
              <w:br/>
            </w:r>
            <w:r>
              <w:rPr>
                <w:sz w:val="16"/>
              </w:rPr>
              <w:t>(any year FY27–FY30)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M3: SSLC annual rev ≥$10M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FY29 at base/high)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M4: SSLC annual rev ≥$20M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FY31 at 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M5: 50% reduction in tank build</w:t>
            </w:r>
            <w:r>
              <w:br/>
            </w:r>
            <w:r>
              <w:rPr>
                <w:sz w:val="16"/>
              </w:rPr>
              <w:t>cost (dome &amp; build-process automation proven)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when 50% cost reduction proven</w:t>
            </w:r>
            <w:r>
              <w:br/>
            </w:r>
            <w:r>
              <w:rPr>
                <w:sz w:val="16"/>
              </w:rPr>
              <w:t>(est. FY27–FY28)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stock earn-out at listing</w:t>
            </w:r>
            <w:r>
              <w:br/>
            </w:r>
            <w:r>
              <w:rPr>
                <w:sz w:val="16"/>
              </w:rPr>
              <w:t>(on top of ~0.59% EAI up-front)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$0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$625K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Post-RTO ~FY29; earn-out 0.0%/0.25%/0.5% FD; lockup same as Exos principals.</w:t>
            </w:r>
            <w:r>
              <w:br/>
            </w:r>
            <w:r>
              <w:rPr>
                <w:sz w:val="16"/>
              </w:rPr>
              <w:t>At 409A: $0/$424K/$848K. Total Exos equity: ~0.59%/~0.84%/~1.09%.</w:t>
            </w:r>
          </w:p>
        </w:tc>
      </w:tr>
      <w:tr>
        <w:tc>
          <w:tcPr>
            <w:tcW w:type="dxa" w:w="3240"/>
            <w:shd w:val="clear" w:color="auto" w:fill="D1FAE5"/>
          </w:tcPr>
          <w:p>
            <w:r/>
            <w:r>
              <w:rPr>
                <w:b/>
                <w:sz w:val="16"/>
              </w:rPr>
              <w:t>③ TOTAL OFFER VALUE, 5-yr</w:t>
            </w:r>
            <w:r>
              <w:br/>
            </w:r>
            <w:r>
              <w:rPr>
                <w:b/>
                <w:sz w:val="16"/>
              </w:rPr>
              <w:t>(② + earn-outs; earn-out stock at listing)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$6,310K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$7,885K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$9,460K</w:t>
            </w:r>
          </w:p>
        </w:tc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FY27–FY31. HIGH &lt; $10M target — not rebalanced.</w:t>
            </w:r>
          </w:p>
        </w:tc>
      </w:tr>
      <w:tr>
        <w:tc>
          <w:tcPr>
            <w:tcW w:type="dxa" w:w="3240"/>
            <w:shd w:val="clear" w:color="auto" w:fill="FBD2BC"/>
          </w:tcPr>
          <w:p>
            <w:r/>
            <w:r>
              <w:rPr>
                <w:b/>
                <w:color w:val="1F3A68"/>
                <w:sz w:val="16"/>
              </w:rPr>
              <w:t>IF HELD: all Exos stock projected</w:t>
            </w:r>
            <w:r>
              <w:br/>
            </w:r>
            <w:r>
              <w:rPr>
                <w:b/>
                <w:color w:val="1F3A68"/>
                <w:sz w:val="16"/>
              </w:rPr>
              <w:t>in FY2031 (replaces listing earn-out)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$6.7M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$9.6M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$12.4M</w:t>
            </w:r>
          </w:p>
        </w:tc>
        <w:tc>
          <w:tcPr>
            <w:tcW w:type="dxa" w:w="2664"/>
            <w:shd w:val="clear" w:color="auto" w:fill="FBD2BC"/>
          </w:tcPr>
          <w:p>
            <w:r/>
            <w:r>
              <w:rPr>
                <w:b/>
                <w:color w:val="1F3A68"/>
                <w:sz w:val="16"/>
              </w:rPr>
              <w:t>Total stake ~0.59/0.84/1.09% → ~0.41/0.59/0.76% after</w:t>
            </w:r>
            <w:r>
              <w:br/>
            </w:r>
            <w:r>
              <w:rPr>
                <w:b/>
                <w:color w:val="1F3A68"/>
                <w:sz w:val="16"/>
              </w:rPr>
              <w:t>~30% dilution × ~$1.63B FY31 EV (16× v12 EBITDA).</w:t>
            </w:r>
            <w:r>
              <w:br/>
            </w:r>
            <w:r>
              <w:rPr>
                <w:b/>
                <w:color w:val="1F3A68"/>
                <w:sz w:val="16"/>
              </w:rPr>
              <w:t>Projection only; on SSLC-actuals case ~$0.7–1.3M.</w:t>
            </w:r>
          </w:p>
        </w:tc>
      </w:tr>
      <w:tr>
        <w:tc>
          <w:tcPr>
            <w:tcW w:type="dxa" w:w="3240"/>
            <w:shd w:val="clear" w:color="auto" w:fill="F26A21"/>
          </w:tcPr>
          <w:p>
            <w:r/>
            <w:r>
              <w:rPr>
                <w:b/>
                <w:color w:val="FFFFFF"/>
                <w:sz w:val="16"/>
              </w:rPr>
              <w:t>④ TOTAL IF STOCK HELD TO 2031</w:t>
            </w:r>
            <w:r>
              <w:br/>
            </w:r>
            <w:r>
              <w:rPr>
                <w:b/>
                <w:color w:val="FFFFFF"/>
                <w:sz w:val="16"/>
              </w:rPr>
              <w:t>(① + tank + milestones + 2031 stock)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$12.0M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$15.8M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$19.4M</w:t>
            </w:r>
          </w:p>
        </w:tc>
        <w:tc>
          <w:tcPr>
            <w:tcW w:type="dxa" w:w="2664"/>
            <w:shd w:val="clear" w:color="auto" w:fill="F26A21"/>
          </w:tcPr>
          <w:p>
            <w:r/>
            <w:r>
              <w:rPr>
                <w:b/>
                <w:color w:val="FFFFFF"/>
                <w:sz w:val="16"/>
              </w:rPr>
              <w:t>Alternative to ③, NOT added to it. Forward-looking</w:t>
            </w:r>
            <w:r>
              <w:br/>
            </w:r>
            <w:r>
              <w:rPr>
                <w:b/>
                <w:color w:val="FFFFFF"/>
                <w:sz w:val="16"/>
              </w:rPr>
              <w:t>projection, not a promise; RTO may not close.</w:t>
            </w:r>
          </w:p>
        </w:tc>
      </w:tr>
    </w:tbl>
    <w:p>
      <w:pPr>
        <w:spacing w:after="60" w:before="0"/>
      </w:pPr>
    </w:p>
    <w:p>
      <w:pPr>
        <w:keepNext/>
        <w:spacing w:after="40" w:before="60"/>
      </w:pPr>
      <w:r>
        <w:rPr>
          <w:b/>
          <w:i w:val="0"/>
          <w:color w:val="2E75B6"/>
          <w:sz w:val="21"/>
        </w:rPr>
        <w:t>Earn-Out Targets: FY27–FY31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2232"/>
        <w:gridCol w:w="1224"/>
        <w:gridCol w:w="1224"/>
        <w:gridCol w:w="1224"/>
        <w:gridCol w:w="1224"/>
      </w:tblGrid>
      <w:tr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Earn-out</w:t>
            </w:r>
          </w:p>
        </w:tc>
        <w:tc>
          <w:tcPr>
            <w:tcW w:type="dxa" w:w="2232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Target SSLC must hit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Pays</w:t>
            </w:r>
          </w:p>
        </w:tc>
      </w:tr>
      <w:tr>
        <w:tc>
          <w:tcPr>
            <w:tcW w:type="dxa" w:w="2664"/>
          </w:tcPr>
          <w:p>
            <w:r/>
            <w:r>
              <w:rPr>
                <w:sz w:val="16"/>
              </w:rPr>
              <w:t>Tank earn-out</w:t>
            </w:r>
            <w:r>
              <w:br/>
            </w:r>
            <w:r>
              <w:rPr>
                <w:sz w:val="16"/>
              </w:rPr>
              <w:t>5% of IM tank revenue/yr,</w:t>
            </w:r>
            <w:r>
              <w:br/>
            </w:r>
            <w:r>
              <w:rPr>
                <w:sz w:val="16"/>
              </w:rPr>
              <w:t>cap $300K/yr, FY27–FY31</w:t>
            </w:r>
          </w:p>
        </w:tc>
        <w:tc>
          <w:tcPr>
            <w:tcW w:type="dxa" w:w="2232"/>
          </w:tcPr>
          <w:p>
            <w:r/>
            <w:r>
              <w:rPr>
                <w:sz w:val="16"/>
              </w:rPr>
              <w:t>Revenue SSLC achieves</w:t>
            </w:r>
            <w:r>
              <w:br/>
            </w:r>
            <w:r>
              <w:rPr>
                <w:sz w:val="16"/>
              </w:rPr>
              <w:t>each year FY27–FY31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$3.0M/yr</w:t>
            </w:r>
            <w:r>
              <w:br/>
            </w:r>
            <w:r>
              <w:rPr>
                <w:sz w:val="16"/>
              </w:rPr>
              <w:t>→ $150K/yr</w:t>
            </w:r>
            <w:r>
              <w:br/>
            </w:r>
            <w:r>
              <w:rPr>
                <w:sz w:val="16"/>
              </w:rPr>
              <w:t>→ $750K total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$5.0M/yr</w:t>
            </w:r>
            <w:r>
              <w:br/>
            </w:r>
            <w:r>
              <w:rPr>
                <w:sz w:val="16"/>
              </w:rPr>
              <w:t>→ $250K/yr</w:t>
            </w:r>
            <w:r>
              <w:br/>
            </w:r>
            <w:r>
              <w:rPr>
                <w:sz w:val="16"/>
              </w:rPr>
              <w:t>→ $1.25M total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$6.0M+/yr</w:t>
            </w:r>
            <w:r>
              <w:br/>
            </w:r>
            <w:r>
              <w:rPr>
                <w:sz w:val="16"/>
              </w:rPr>
              <w:t>→ $300K/yr (cap)</w:t>
            </w:r>
            <w:r>
              <w:br/>
            </w:r>
            <w:r>
              <w:rPr>
                <w:sz w:val="16"/>
              </w:rPr>
              <w:t>→ $1.5M total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Annual,</w:t>
            </w:r>
            <w:r>
              <w:br/>
            </w:r>
            <w:r>
              <w:rPr>
                <w:sz w:val="16"/>
              </w:rPr>
              <w:t>FY27–FY31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M1: SSLC FY2026-27 rev ≥ $5.1M → $200K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SSLC FY27 annual revenue ≥ $5.1M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FY28 Q1</w:t>
            </w:r>
            <w:r>
              <w:br/>
            </w:r>
            <w:r>
              <w:rPr>
                <w:color w:val="000000"/>
                <w:sz w:val="16"/>
              </w:rPr>
              <w:t>(if verified)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M2: Nebula OTV flight tank set delivered &amp;</w:t>
            </w:r>
            <w:r>
              <w:br/>
            </w:r>
            <w:r>
              <w:rPr>
                <w:sz w:val="16"/>
              </w:rPr>
              <w:t>accepted by Intuitive Machines → $200K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Tank set delivered and</w:t>
            </w:r>
            <w:r>
              <w:br/>
            </w:r>
            <w:r>
              <w:rPr>
                <w:sz w:val="16"/>
              </w:rPr>
              <w:t>accepted by IM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At customer</w:t>
            </w:r>
            <w:r>
              <w:br/>
            </w:r>
            <w:r>
              <w:rPr>
                <w:color w:val="000000"/>
                <w:sz w:val="16"/>
              </w:rPr>
              <w:t>acceptance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M3: SSLC annual rev ≥ $10M → $250K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SSLC annual revenue ≥ $10M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First yr hit</w:t>
            </w:r>
            <w:r>
              <w:br/>
            </w:r>
            <w:r>
              <w:rPr>
                <w:color w:val="000000"/>
                <w:sz w:val="16"/>
              </w:rPr>
              <w:t>(est. FY29)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M4: SSLC annual rev ≥ $20M → $250K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SSLC annual revenue ≥ $20M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First yr hit</w:t>
            </w:r>
            <w:r>
              <w:br/>
            </w:r>
            <w:r>
              <w:rPr>
                <w:color w:val="000000"/>
                <w:sz w:val="16"/>
              </w:rPr>
              <w:t>(est. FY31)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M5: 50% reduction in tank build cost</w:t>
            </w:r>
            <w:r>
              <w:br/>
            </w:r>
            <w:r>
              <w:rPr>
                <w:sz w:val="16"/>
              </w:rPr>
              <w:t>(dome &amp; build-process automation proven) → $200K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50% cost reduction proven</w:t>
            </w:r>
            <w:r>
              <w:br/>
            </w:r>
            <w:r>
              <w:rPr>
                <w:sz w:val="16"/>
              </w:rPr>
              <w:t>via dome &amp; process automation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When proven</w:t>
            </w:r>
            <w:r>
              <w:br/>
            </w:r>
            <w:r>
              <w:rPr>
                <w:color w:val="000000"/>
                <w:sz w:val="16"/>
              </w:rPr>
              <w:t>(est. FY27–28)</w:t>
            </w:r>
          </w:p>
        </w:tc>
      </w:tr>
      <w:tr>
        <w:tc>
          <w:tcPr>
            <w:tcW w:type="dxa" w:w="2664"/>
          </w:tcPr>
          <w:p>
            <w:r/>
            <w:r>
              <w:rPr>
                <w:sz w:val="16"/>
              </w:rPr>
              <w:t>Exos stock earn-out at RTO listing</w:t>
            </w:r>
            <w:r>
              <w:br/>
            </w:r>
            <w:r>
              <w:rPr>
                <w:sz w:val="16"/>
              </w:rPr>
              <w:t>(additional to ~0.59% EAI up-front)</w:t>
            </w:r>
          </w:p>
        </w:tc>
        <w:tc>
          <w:tcPr>
            <w:tcW w:type="dxa" w:w="2232"/>
          </w:tcPr>
          <w:p>
            <w:r/>
            <w:r>
              <w:rPr>
                <w:sz w:val="16"/>
              </w:rPr>
              <w:t>Issued at RTO listing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$0</w:t>
            </w:r>
            <w:r>
              <w:br/>
            </w:r>
            <w:r>
              <w:rPr>
                <w:sz w:val="16"/>
              </w:rPr>
              <w:t>(0.0%)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$625K</w:t>
            </w:r>
            <w:r>
              <w:br/>
            </w:r>
            <w:r>
              <w:rPr>
                <w:sz w:val="16"/>
              </w:rPr>
              <w:t>(0.25%)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$1,500K</w:t>
            </w:r>
            <w:r>
              <w:br/>
            </w:r>
            <w:r>
              <w:rPr>
                <w:sz w:val="16"/>
              </w:rPr>
              <w:t>(0.50%)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Post-RTO</w:t>
            </w:r>
            <w:r>
              <w:br/>
            </w:r>
            <w:r>
              <w:rPr>
                <w:sz w:val="16"/>
              </w:rPr>
              <w:t>~FY29</w:t>
            </w:r>
          </w:p>
        </w:tc>
      </w:tr>
      <w:tr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TOTAL EARN-OUTS (5-yr, ③ minus ②)</w:t>
            </w:r>
          </w:p>
        </w:tc>
        <w:tc>
          <w:tcPr>
            <w:tcW w:type="dxa" w:w="2232"/>
            <w:shd w:val="clear" w:color="auto" w:fill="D1FAE5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  <w:t>$950K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  <w:t>$2,525K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  <w:t>$4,100K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</w:tr>
    </w:tbl>
    <w:p>
      <w:pPr>
        <w:spacing w:after="4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Earn-out totals verified: Low $750K+$200K+$0=$950K ✓  Base $1,250K+$650K+$625K=$2,525K ✓  High $1,500K+$1,100K+$1,500K=$4,100K ✓  (each = ③ minus ② = ③ minus $5,360K)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EAI units: $1.0M fixed (~0.59% FD) issued as part of Rule 504 offering at close; part of RTO public float; freely tradeable at listing (no lockup). Earn-out stock (0.0–0.5% additional) at RTO listing. Full model: EXOS_SSLC_OptionB_Acquisition_Model_2026-10-07.xlsx → 'EAI Lockup &amp; Liquidity' and 'Total Compensation' sheets.</w:t>
      </w: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3.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$5,360,000 base at close ($2.51M cash + $60K costs + $790K Exos stake credit + $500K WC + $1.0M EAI equity at 409A, Rule 504)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 assumed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Paid at face at close (est. ~$500K; verify QuickBooks)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employees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Exos offers employment to SSLC employees on terms no less favorable than current (incl. comp &amp; benefits), subject to Exos hiring policies + confirmatory diligence; key-employee option pool set in the Definitive Agreement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Rule 504: $1.0M toward $10M rolling 12-month cap; U.S.-only (Japan round is Reg S — keep distinct). EAI timeline: committed at board acceptance → issued at financing close (Q1 FY27 targeted) → freely tradeable at RTO listing (targeted ~6 mo post-close; not assured). Full detail: model → 'EAI Lockup &amp; Liquidity' sheet.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Full model: EXOS_SSLC_OptionB_Acquisition_Model_2026-10-07.xlsx  ·  With-vs-Without: sheet 'With vs Without Exos Capital'  ·  Eqvista fairness opinion: engaged 8/14/2026; agreement still unsigned (held ~1 month). Projections are forward-looking (SEC Rule 10b-5 applies); RTO stock projection (mgmt assumption, not a guarantee): see model 'Total Compensation' / 'Returns and Dilution'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2026-10-09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