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124D" w14:textId="2A1275F1" w:rsidR="00D02269" w:rsidRPr="007C623E" w:rsidRDefault="00D02269" w:rsidP="007C623E"/>
    <w:p>
      <w:pPr>
        <w:spacing w:after="40" w:before="0"/>
        <w:jc w:val="center"/>
      </w:pPr>
      <w:r>
        <w:rPr>
          <w:b/>
          <w:i w:val="0"/>
          <w:color w:val="C00000"/>
          <w:sz w:val="18"/>
        </w:rPr>
        <w:t>INTERNAL  ·  DRAFT  ·  NEGOTIATING TERMS  ·  CEO / Board Eyes Only</w:t>
      </w:r>
    </w:p>
    <w:p>
      <w:pPr>
        <w:spacing w:after="40" w:before="0"/>
        <w:jc w:val="center"/>
      </w:pPr>
      <w:r>
        <w:rPr>
          <w:b/>
          <w:i w:val="0"/>
          <w:color w:val="1F3A68"/>
          <w:sz w:val="28"/>
        </w:rPr>
        <w:t>EXOS AEROSPACE — SSLC OPTION B: ACQUISITION OFFER SUMMARY</w:t>
      </w:r>
    </w:p>
    <w:p>
      <w:pPr>
        <w:spacing w:after="100" w:before="0"/>
        <w:jc w:val="center"/>
      </w:pPr>
      <w:r>
        <w:rPr>
          <w:b w:val="0"/>
          <w:i/>
          <w:color w:val="606060"/>
          <w:sz w:val="19"/>
        </w:rPr>
        <w:t>October 12, 2026  ·  Exos Aerospace Systems &amp; Technologies, Inc.</w:t>
      </w:r>
    </w:p>
    <w:p>
      <w:pPr>
        <w:keepNext/>
        <w:spacing w:after="60" w:before="120"/>
      </w:pPr>
      <w:r>
        <w:rPr>
          <w:b/>
          <w:i w:val="0"/>
          <w:color w:val="1F3A68"/>
          <w:sz w:val="24"/>
        </w:rPr>
        <w:t>1.  What SSLC Holders Receive</w:t>
      </w:r>
    </w:p>
    <w:p>
      <w:pPr>
        <w:spacing w:after="60" w:before="0"/>
      </w:pPr>
      <w:r>
        <w:rPr>
          <w:b w:val="0"/>
          <w:i/>
          <w:color w:val="2E75B6"/>
          <w:sz w:val="19"/>
        </w:rPr>
        <w:t>Up-front price reflects today's numbers; earn-outs let SSLC holders share directly in tank deliveries, revenue milestones, and the Exos listing.</w:t>
      </w:r>
    </w:p>
    <w:p>
      <w:pPr>
        <w:spacing w:after="40" w:before="0"/>
      </w:pPr>
      <w:r>
        <w:rPr>
          <w:b w:val="0"/>
          <w:i/>
          <w:color w:val="606060"/>
          <w:sz w:val="15"/>
        </w:rPr>
        <w:t>Earn-out rows: negotiating terms — management assumptions. Each milestone is independently verifiable; none pay unless the trigger is met.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1152"/>
        <w:gridCol w:w="1152"/>
        <w:gridCol w:w="1152"/>
        <w:gridCol w:w="2664"/>
      </w:tblGrid>
      <w:tr>
        <w:tc>
          <w:tcPr>
            <w:tcW w:type="dxa" w:w="3240"/>
            <w:shd w:val="clear" w:color="auto" w:fill="1F3A68"/>
          </w:tcPr>
          <w:p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1152"/>
            <w:shd w:val="clear" w:color="auto" w:fill="1F3A68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152"/>
            <w:shd w:val="clear" w:color="auto" w:fill="1F3A68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Base</w:t>
            </w:r>
          </w:p>
        </w:tc>
        <w:tc>
          <w:tcPr>
            <w:tcW w:type="dxa" w:w="1152"/>
            <w:shd w:val="clear" w:color="auto" w:fill="1F3A68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2664"/>
            <w:shd w:val="clear" w:color="auto" w:fill="1F3A68"/>
          </w:tcPr>
          <w:p>
            <w:r/>
            <w:r>
              <w:rPr>
                <w:b/>
                <w:color w:val="FFFFFF"/>
                <w:sz w:val="16"/>
              </w:rPr>
              <w:t>When / Notes</w:t>
            </w:r>
          </w:p>
        </w:tc>
      </w:tr>
      <w:tr>
        <w:tc>
          <w:tcPr>
            <w:tcW w:type="dxa" w:w="3240"/>
          </w:tcPr>
          <w:p>
            <w:r/>
            <w:r>
              <w:rPr>
                <w:sz w:val="16"/>
              </w:rPr>
              <w:t>Cash at close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$2,510K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$2,510K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$2,510K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Close target Jan 15, 2027 (~Q1 FY27)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sz w:val="16"/>
              </w:rPr>
              <w:t>SSLC transaction costs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$60K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$60K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$60K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Close; seller-side</w:t>
            </w:r>
          </w:p>
        </w:tc>
      </w:tr>
      <w:tr>
        <w:tc>
          <w:tcPr>
            <w:tcW w:type="dxa" w:w="3240"/>
          </w:tcPr>
          <w:p>
            <w:r/>
            <w:r>
              <w:rPr>
                <w:sz w:val="16"/>
              </w:rPr>
              <w:t>Credit for Exos's existing stake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$790K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$790K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$790K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Close (non-cash credit)</w:t>
            </w:r>
          </w:p>
        </w:tc>
      </w:tr>
      <w:tr>
        <w:tc>
          <w:tcPr>
            <w:tcW w:type="dxa" w:w="3240"/>
            <w:shd w:val="clear" w:color="auto" w:fill="F3F4F6"/>
          </w:tcPr>
          <w:p>
            <w:r/>
            <w:r>
              <w:rPr>
                <w:b/>
                <w:sz w:val="16"/>
              </w:rPr>
              <w:t>① Cash at close — target by Jan 15, 2027</w:t>
            </w:r>
          </w:p>
        </w:tc>
        <w:tc>
          <w:tcPr>
            <w:tcW w:type="dxa" w:w="1152"/>
            <w:shd w:val="clear" w:color="auto" w:fill="F3F4F6"/>
          </w:tcPr>
          <w:p>
            <w:pPr>
              <w:jc w:val="right"/>
            </w:pPr>
            <w:r/>
            <w:r>
              <w:rPr>
                <w:b/>
                <w:sz w:val="16"/>
              </w:rPr>
              <w:t>$3,360K</w:t>
            </w:r>
          </w:p>
        </w:tc>
        <w:tc>
          <w:tcPr>
            <w:tcW w:type="dxa" w:w="1152"/>
            <w:shd w:val="clear" w:color="auto" w:fill="F3F4F6"/>
          </w:tcPr>
          <w:p>
            <w:pPr>
              <w:jc w:val="right"/>
            </w:pPr>
            <w:r/>
            <w:r>
              <w:rPr>
                <w:b/>
                <w:sz w:val="16"/>
              </w:rPr>
              <w:t>$3,360K</w:t>
            </w:r>
          </w:p>
        </w:tc>
        <w:tc>
          <w:tcPr>
            <w:tcW w:type="dxa" w:w="1152"/>
            <w:shd w:val="clear" w:color="auto" w:fill="F3F4F6"/>
          </w:tcPr>
          <w:p>
            <w:pPr>
              <w:jc w:val="right"/>
            </w:pPr>
            <w:r/>
            <w:r>
              <w:rPr>
                <w:b/>
                <w:sz w:val="16"/>
              </w:rPr>
              <w:t>$3,360K</w:t>
            </w:r>
          </w:p>
        </w:tc>
        <w:tc>
          <w:tcPr>
            <w:tcW w:type="dxa" w:w="2664"/>
            <w:shd w:val="clear" w:color="auto" w:fill="F3F4F6"/>
          </w:tcPr>
          <w:p>
            <w:r/>
            <w:r>
              <w:rPr>
                <w:b/>
                <w:sz w:val="16"/>
              </w:rPr>
              <w:t xml:space="preserve">Cash + costs + stake credit + </w:t>
            </w:r>
          </w:p>
        </w:tc>
      </w:tr>
      <w:tr>
        <w:tc>
          <w:tcPr>
            <w:tcW w:type="dxa" w:w="3240"/>
          </w:tcPr>
          <w:p>
            <w:r>
              <w:t>+ Exos equity — $1.0M EAI — key SSLC personnel</w:t>
              <w:br/>
              <w:t>(Rule 504, ~0.59% at 409A ~$170M)</w:t>
            </w:r>
            <w:r>
              <w:rPr>
                <w:sz w:val="16"/>
              </w:rPr>
            </w:r>
            <w:r/>
            <w:r>
              <w:rPr>
                <w:sz w:val="16"/>
              </w:rPr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$1,000K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$1,000K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$1,000K</w:t>
            </w:r>
          </w:p>
        </w:tc>
        <w:tc>
          <w:tcPr>
            <w:tcW w:type="dxa" w:w="2664"/>
          </w:tcPr>
          <w:p>
            <w:r>
              <w:t>EAI issued to key personnel; Exos's</w:t>
              <w:br/>
              <w:t>Rule 504 offering, at the 409A value;</w:t>
              <w:br/>
              <w:t>$1.0M counts toward Rule 504 cap; not pro-rata to cap table; at close</w:t>
            </w:r>
            <w:r>
              <w:rPr>
                <w:sz w:val="16"/>
              </w:rPr>
            </w:r>
            <w:r/>
            <w:r>
              <w:rPr>
                <w:sz w:val="16"/>
              </w:rPr>
            </w:r>
            <w:r/>
            <w:r>
              <w:rPr>
                <w:sz w:val="16"/>
              </w:rPr>
            </w:r>
            <w:r/>
            <w:r>
              <w:rPr>
                <w:sz w:val="16"/>
              </w:rPr>
            </w:r>
          </w:p>
        </w:tc>
      </w:tr>
      <w:tr>
        <w:tc>
          <w:tcPr>
            <w:tcW w:type="dxa" w:w="3240"/>
            <w:shd w:val="clear" w:color="auto" w:fill="F3F4F6"/>
          </w:tcPr>
          <w:p>
            <w:r/>
            <w:r>
              <w:rPr>
                <w:b/>
                <w:sz w:val="16"/>
              </w:rPr>
              <w:t>② Total at financing close (SSLC asset acquisition)</w:t>
            </w:r>
          </w:p>
        </w:tc>
        <w:tc>
          <w:tcPr>
            <w:tcW w:type="dxa" w:w="1152"/>
            <w:shd w:val="clear" w:color="auto" w:fill="F3F4F6"/>
          </w:tcPr>
          <w:p>
            <w:pPr>
              <w:jc w:val="right"/>
            </w:pPr>
            <w:r/>
            <w:r>
              <w:rPr>
                <w:b/>
                <w:sz w:val="16"/>
              </w:rPr>
              <w:t>$4,360K</w:t>
            </w:r>
          </w:p>
        </w:tc>
        <w:tc>
          <w:tcPr>
            <w:tcW w:type="dxa" w:w="1152"/>
            <w:shd w:val="clear" w:color="auto" w:fill="F3F4F6"/>
          </w:tcPr>
          <w:p>
            <w:pPr>
              <w:jc w:val="right"/>
            </w:pPr>
            <w:r/>
            <w:r>
              <w:rPr>
                <w:b/>
                <w:sz w:val="16"/>
              </w:rPr>
              <w:t>$4,360K</w:t>
            </w:r>
          </w:p>
        </w:tc>
        <w:tc>
          <w:tcPr>
            <w:tcW w:type="dxa" w:w="1152"/>
            <w:shd w:val="clear" w:color="auto" w:fill="F3F4F6"/>
          </w:tcPr>
          <w:p>
            <w:pPr>
              <w:jc w:val="right"/>
            </w:pPr>
            <w:r/>
            <w:r>
              <w:rPr>
                <w:b/>
                <w:sz w:val="16"/>
              </w:rPr>
              <w:t>$4,360K</w:t>
            </w:r>
          </w:p>
        </w:tc>
        <w:tc>
          <w:tcPr>
            <w:tcW w:type="dxa" w:w="2664"/>
            <w:shd w:val="clear" w:color="auto" w:fill="F3F4F6"/>
          </w:tcPr>
          <w:p>
            <w:r/>
            <w:r>
              <w:rPr>
                <w:b/>
                <w:sz w:val="16"/>
              </w:rPr>
              <w:t>Target: Jan 15, 2027</w:t>
            </w:r>
          </w:p>
        </w:tc>
      </w:tr>
      <w:tr>
        <w:tc>
          <w:tcPr>
            <w:tcW w:type="dxa" w:w="3240"/>
          </w:tcPr>
          <w:p>
            <w:r/>
            <w:r>
              <w:rPr>
                <w:sz w:val="16"/>
              </w:rPr>
              <w:t>Tank earn-out: 5% of SSLC's IM tank</w:t>
            </w:r>
            <w:r>
              <w:br/>
            </w:r>
            <w:r>
              <w:rPr>
                <w:sz w:val="16"/>
              </w:rPr>
              <w:t>revenue/yr, cap $300K/yr, FY27–FY31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$750K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$1,250K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$1,500K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Single 5% rate; scenario = revenue</w:t>
            </w:r>
            <w:r>
              <w:br/>
            </w:r>
            <w:r>
              <w:rPr>
                <w:sz w:val="16"/>
              </w:rPr>
              <w:t>SSLC achieves: Low $3M/yr → $150K/yr;</w:t>
            </w:r>
            <w:r>
              <w:br/>
            </w:r>
            <w:r>
              <w:rPr>
                <w:sz w:val="16"/>
              </w:rPr>
              <w:t>Base $5M/yr → $250K/yr;</w:t>
            </w:r>
            <w:r>
              <w:br/>
            </w:r>
            <w:r>
              <w:rPr>
                <w:sz w:val="16"/>
              </w:rPr>
              <w:t>High $6M+/yr → $300K/yr (cap)</w:t>
            </w:r>
          </w:p>
        </w:tc>
      </w:tr>
      <w:tr>
        <w:tc>
          <w:tcPr>
            <w:tcW w:type="dxa" w:w="3240"/>
            <w:shd w:val="clear" w:color="auto" w:fill="EFF6FF"/>
          </w:tcPr>
          <w:p>
            <w:r/>
            <w:r>
              <w:rPr>
                <w:sz w:val="16"/>
              </w:rPr>
              <w:t>Milestone M1: SSLC FY2026-27 rev</w:t>
            </w:r>
            <w:r>
              <w:br/>
            </w:r>
            <w:r>
              <w:rPr>
                <w:sz w:val="16"/>
              </w:rPr>
              <w:t>≥$5.1M</w:t>
            </w:r>
          </w:p>
        </w:tc>
        <w:tc>
          <w:tcPr>
            <w:tcW w:type="dxa" w:w="1152"/>
            <w:shd w:val="clear" w:color="auto" w:fill="EFF6FF"/>
          </w:tcPr>
          <w:p>
            <w:pPr>
              <w:jc w:val="right"/>
            </w:pPr>
            <w:r/>
            <w:r>
              <w:rPr>
                <w:sz w:val="16"/>
              </w:rPr>
              <w:t>$200K</w:t>
            </w:r>
          </w:p>
        </w:tc>
        <w:tc>
          <w:tcPr>
            <w:tcW w:type="dxa" w:w="1152"/>
            <w:shd w:val="clear" w:color="auto" w:fill="EFF6FF"/>
          </w:tcPr>
          <w:p>
            <w:pPr>
              <w:jc w:val="right"/>
            </w:pPr>
            <w:r/>
            <w:r>
              <w:rPr>
                <w:sz w:val="16"/>
              </w:rPr>
              <w:t>$200K</w:t>
            </w:r>
          </w:p>
        </w:tc>
        <w:tc>
          <w:tcPr>
            <w:tcW w:type="dxa" w:w="1152"/>
            <w:shd w:val="clear" w:color="auto" w:fill="EFF6FF"/>
          </w:tcPr>
          <w:p>
            <w:pPr>
              <w:jc w:val="right"/>
            </w:pPr>
            <w:r/>
            <w:r>
              <w:rPr>
                <w:sz w:val="16"/>
              </w:rPr>
              <w:t>$200K</w:t>
            </w:r>
          </w:p>
        </w:tc>
        <w:tc>
          <w:tcPr>
            <w:tcW w:type="dxa" w:w="2664"/>
            <w:shd w:val="clear" w:color="auto" w:fill="EFF6FF"/>
          </w:tcPr>
          <w:p>
            <w:r/>
            <w:r>
              <w:rPr>
                <w:sz w:val="16"/>
              </w:rPr>
              <w:t>Pays FY28 Q1 if verified</w:t>
            </w:r>
            <w:r>
              <w:br/>
            </w:r>
            <w:r>
              <w:rPr>
                <w:sz w:val="16"/>
              </w:rPr>
              <w:t>(all scenarios: mgmt base case)</w:t>
            </w:r>
          </w:p>
        </w:tc>
      </w:tr>
      <w:tr>
        <w:tc>
          <w:tcPr>
            <w:tcW w:type="dxa" w:w="3240"/>
            <w:shd w:val="clear" w:color="auto" w:fill="EFF6FF"/>
          </w:tcPr>
          <w:p>
            <w:r/>
            <w:r>
              <w:rPr>
                <w:sz w:val="16"/>
              </w:rPr>
              <w:t>Milestone M2: Nebula OTV flight tank set</w:t>
            </w:r>
            <w:r>
              <w:br/>
            </w:r>
            <w:r>
              <w:rPr>
                <w:sz w:val="16"/>
              </w:rPr>
              <w:t>delivered &amp; accepted by Intuitive Machines</w:t>
            </w:r>
          </w:p>
        </w:tc>
        <w:tc>
          <w:tcPr>
            <w:tcW w:type="dxa" w:w="1152"/>
            <w:shd w:val="clear" w:color="auto" w:fill="EFF6FF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  <w:shd w:val="clear" w:color="auto" w:fill="EFF6FF"/>
          </w:tcPr>
          <w:p>
            <w:pPr>
              <w:jc w:val="right"/>
            </w:pPr>
            <w:r/>
            <w:r>
              <w:rPr>
                <w:sz w:val="16"/>
              </w:rPr>
              <w:t>$200K</w:t>
            </w:r>
          </w:p>
        </w:tc>
        <w:tc>
          <w:tcPr>
            <w:tcW w:type="dxa" w:w="1152"/>
            <w:shd w:val="clear" w:color="auto" w:fill="EFF6FF"/>
          </w:tcPr>
          <w:p>
            <w:pPr>
              <w:jc w:val="right"/>
            </w:pPr>
            <w:r/>
            <w:r>
              <w:rPr>
                <w:sz w:val="16"/>
              </w:rPr>
              <w:t>$200K</w:t>
            </w:r>
          </w:p>
        </w:tc>
        <w:tc>
          <w:tcPr>
            <w:tcW w:type="dxa" w:w="2664"/>
            <w:shd w:val="clear" w:color="auto" w:fill="EFF6FF"/>
          </w:tcPr>
          <w:p>
            <w:r/>
            <w:r>
              <w:rPr>
                <w:sz w:val="16"/>
              </w:rPr>
              <w:t>Pays at customer acceptance</w:t>
            </w:r>
            <w:r>
              <w:br/>
            </w:r>
            <w:r>
              <w:rPr>
                <w:sz w:val="16"/>
              </w:rPr>
              <w:t>(any year FY27–FY30)</w:t>
            </w:r>
          </w:p>
        </w:tc>
      </w:tr>
      <w:tr>
        <w:tc>
          <w:tcPr>
            <w:tcW w:type="dxa" w:w="3240"/>
            <w:shd w:val="clear" w:color="auto" w:fill="EFF6FF"/>
          </w:tcPr>
          <w:p>
            <w:r/>
            <w:r>
              <w:rPr>
                <w:sz w:val="16"/>
              </w:rPr>
              <w:t>Milestone M3: SSLC annual rev ≥$10M</w:t>
            </w:r>
          </w:p>
        </w:tc>
        <w:tc>
          <w:tcPr>
            <w:tcW w:type="dxa" w:w="1152"/>
            <w:shd w:val="clear" w:color="auto" w:fill="EFF6FF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  <w:shd w:val="clear" w:color="auto" w:fill="EFF6FF"/>
          </w:tcPr>
          <w:p>
            <w:pPr>
              <w:jc w:val="right"/>
            </w:pPr>
            <w:r/>
            <w:r>
              <w:rPr>
                <w:sz w:val="16"/>
              </w:rPr>
              <w:t>$250K</w:t>
            </w:r>
          </w:p>
        </w:tc>
        <w:tc>
          <w:tcPr>
            <w:tcW w:type="dxa" w:w="1152"/>
            <w:shd w:val="clear" w:color="auto" w:fill="EFF6FF"/>
          </w:tcPr>
          <w:p>
            <w:pPr>
              <w:jc w:val="right"/>
            </w:pPr>
            <w:r/>
            <w:r>
              <w:rPr>
                <w:sz w:val="16"/>
              </w:rPr>
              <w:t>$250K</w:t>
            </w:r>
          </w:p>
        </w:tc>
        <w:tc>
          <w:tcPr>
            <w:tcW w:type="dxa" w:w="2664"/>
            <w:shd w:val="clear" w:color="auto" w:fill="EFF6FF"/>
          </w:tcPr>
          <w:p>
            <w:r/>
            <w:r>
              <w:rPr>
                <w:sz w:val="16"/>
              </w:rPr>
              <w:t>Pays first year threshold hit</w:t>
            </w:r>
            <w:r>
              <w:br/>
            </w:r>
            <w:r>
              <w:rPr>
                <w:sz w:val="16"/>
              </w:rPr>
              <w:t>(est. FY29 at base/high)</w:t>
            </w:r>
          </w:p>
        </w:tc>
      </w:tr>
      <w:tr>
        <w:tc>
          <w:tcPr>
            <w:tcW w:type="dxa" w:w="3240"/>
            <w:shd w:val="clear" w:color="auto" w:fill="EFF6FF"/>
          </w:tcPr>
          <w:p>
            <w:r/>
            <w:r>
              <w:rPr>
                <w:sz w:val="16"/>
              </w:rPr>
              <w:t>Milestone M4: SSLC annual rev ≥$20M</w:t>
            </w:r>
          </w:p>
        </w:tc>
        <w:tc>
          <w:tcPr>
            <w:tcW w:type="dxa" w:w="1152"/>
            <w:shd w:val="clear" w:color="auto" w:fill="EFF6FF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  <w:shd w:val="clear" w:color="auto" w:fill="EFF6FF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  <w:shd w:val="clear" w:color="auto" w:fill="EFF6FF"/>
          </w:tcPr>
          <w:p>
            <w:pPr>
              <w:jc w:val="right"/>
            </w:pPr>
            <w:r/>
            <w:r>
              <w:rPr>
                <w:sz w:val="16"/>
              </w:rPr>
              <w:t>$250K</w:t>
            </w:r>
          </w:p>
        </w:tc>
        <w:tc>
          <w:tcPr>
            <w:tcW w:type="dxa" w:w="2664"/>
            <w:shd w:val="clear" w:color="auto" w:fill="EFF6FF"/>
          </w:tcPr>
          <w:p>
            <w:r/>
            <w:r>
              <w:rPr>
                <w:sz w:val="16"/>
              </w:rPr>
              <w:t>Pays first year threshold hit</w:t>
            </w:r>
            <w:r>
              <w:br/>
            </w:r>
            <w:r>
              <w:rPr>
                <w:sz w:val="16"/>
              </w:rPr>
              <w:t>(est. FY31 at high)</w:t>
            </w:r>
          </w:p>
        </w:tc>
      </w:tr>
      <w:tr>
        <w:tc>
          <w:tcPr>
            <w:tcW w:type="dxa" w:w="3240"/>
            <w:shd w:val="clear" w:color="auto" w:fill="EFF6FF"/>
          </w:tcPr>
          <w:p>
            <w:r/>
            <w:r>
              <w:rPr>
                <w:sz w:val="16"/>
              </w:rPr>
              <w:t>Milestone M5: 50% reduction in tank build</w:t>
            </w:r>
            <w:r>
              <w:br/>
            </w:r>
            <w:r>
              <w:rPr>
                <w:sz w:val="16"/>
              </w:rPr>
              <w:t>cost (dome &amp; build-process automation proven)</w:t>
            </w:r>
          </w:p>
        </w:tc>
        <w:tc>
          <w:tcPr>
            <w:tcW w:type="dxa" w:w="1152"/>
            <w:shd w:val="clear" w:color="auto" w:fill="EFF6FF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  <w:shd w:val="clear" w:color="auto" w:fill="EFF6FF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  <w:shd w:val="clear" w:color="auto" w:fill="EFF6FF"/>
          </w:tcPr>
          <w:p>
            <w:pPr>
              <w:jc w:val="right"/>
            </w:pPr>
            <w:r/>
            <w:r>
              <w:rPr>
                <w:sz w:val="16"/>
              </w:rPr>
              <w:t>$200K</w:t>
            </w:r>
          </w:p>
        </w:tc>
        <w:tc>
          <w:tcPr>
            <w:tcW w:type="dxa" w:w="2664"/>
            <w:shd w:val="clear" w:color="auto" w:fill="EFF6FF"/>
          </w:tcPr>
          <w:p>
            <w:r/>
            <w:r>
              <w:rPr>
                <w:sz w:val="16"/>
              </w:rPr>
              <w:t>Pays when 50% cost reduction proven</w:t>
            </w:r>
            <w:r>
              <w:br/>
            </w:r>
            <w:r>
              <w:rPr>
                <w:sz w:val="16"/>
              </w:rPr>
              <w:t>(est. FY27–FY28)</w:t>
            </w:r>
          </w:p>
        </w:tc>
      </w:tr>
      <w:tr>
        <w:tc>
          <w:tcPr>
            <w:tcW w:type="dxa" w:w="3240"/>
          </w:tcPr>
          <w:p>
            <w:r/>
            <w:r>
              <w:rPr>
                <w:sz w:val="16"/>
              </w:rPr>
              <w:t>Exos stock earn-out at listing</w:t>
            </w:r>
            <w:r>
              <w:br/>
            </w:r>
            <w:r>
              <w:rPr>
                <w:sz w:val="16"/>
              </w:rPr>
              <w:t>(on top of ~0.59% EAI up-front)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$0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$625K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$1,500K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Post-RTO ~FY29; earn-out 0.0%/0.25%/0.5% FD; lockup same as Exos principals.</w:t>
            </w:r>
            <w:r>
              <w:br/>
            </w:r>
            <w:r>
              <w:rPr>
                <w:sz w:val="16"/>
              </w:rPr>
              <w:t>At 409A: $0/$424K/$848K. Total Exos equity: ~0.59%/~0.84%/~1.09%.</w:t>
            </w:r>
          </w:p>
        </w:tc>
      </w:tr>
      <w:tr>
        <w:tc>
          <w:tcPr>
            <w:tcW w:type="dxa" w:w="3240"/>
            <w:shd w:val="clear" w:color="auto" w:fill="D1FAE5"/>
          </w:tcPr>
          <w:p>
            <w:r/>
            <w:r>
              <w:rPr>
                <w:b/>
                <w:sz w:val="16"/>
              </w:rPr>
              <w:t>③ TOTAL OFFER VALUE, 5-yr</w:t>
            </w:r>
            <w:r>
              <w:br/>
            </w:r>
            <w:r>
              <w:rPr>
                <w:b/>
                <w:sz w:val="16"/>
              </w:rPr>
              <w:t>(② + earn-outs; earn-out stock at listing)</w:t>
            </w:r>
          </w:p>
        </w:tc>
        <w:tc>
          <w:tcPr>
            <w:tcW w:type="dxa" w:w="1152"/>
            <w:shd w:val="clear" w:color="auto" w:fill="D1FAE5"/>
          </w:tcPr>
          <w:p>
            <w:pPr>
              <w:jc w:val="right"/>
            </w:pPr>
            <w:r/>
            <w:r>
              <w:rPr>
                <w:b/>
                <w:sz w:val="16"/>
              </w:rPr>
              <w:t>$5,310K</w:t>
            </w:r>
          </w:p>
        </w:tc>
        <w:tc>
          <w:tcPr>
            <w:tcW w:type="dxa" w:w="1152"/>
            <w:shd w:val="clear" w:color="auto" w:fill="D1FAE5"/>
          </w:tcPr>
          <w:p>
            <w:pPr>
              <w:jc w:val="right"/>
            </w:pPr>
            <w:r/>
            <w:r>
              <w:rPr>
                <w:b/>
                <w:sz w:val="16"/>
              </w:rPr>
              <w:t>$6,885K</w:t>
            </w:r>
          </w:p>
        </w:tc>
        <w:tc>
          <w:tcPr>
            <w:tcW w:type="dxa" w:w="1152"/>
            <w:shd w:val="clear" w:color="auto" w:fill="D1FAE5"/>
          </w:tcPr>
          <w:p>
            <w:pPr>
              <w:jc w:val="right"/>
            </w:pPr>
            <w:r/>
            <w:r>
              <w:rPr>
                <w:b/>
                <w:sz w:val="16"/>
              </w:rPr>
              <w:t>$8,460K</w:t>
            </w:r>
          </w:p>
        </w:tc>
        <w:tc>
          <w:tcPr>
            <w:tcW w:type="dxa" w:w="2664"/>
            <w:shd w:val="clear" w:color="auto" w:fill="D1FAE5"/>
          </w:tcPr>
          <w:p>
            <w:r/>
            <w:r>
              <w:rPr>
                <w:b/>
                <w:sz w:val="16"/>
              </w:rPr>
              <w:t>FY27–FY31. After 5% svc fee on cash earn-outs — not rebalanced.</w:t>
            </w:r>
          </w:p>
        </w:tc>
      </w:tr>
      <w:tr>
        <w:tc>
          <w:tcPr>
            <w:tcW w:type="dxa" w:w="3240"/>
            <w:shd w:val="clear" w:color="auto" w:fill="FBD2BC"/>
          </w:tcPr>
          <w:p>
            <w:r/>
            <w:r>
              <w:rPr>
                <w:b/>
                <w:color w:val="1F3A68"/>
                <w:sz w:val="16"/>
              </w:rPr>
              <w:t>IF HELD: all Exos stock projected</w:t>
            </w:r>
            <w:r>
              <w:br/>
            </w:r>
            <w:r>
              <w:rPr>
                <w:b/>
                <w:color w:val="1F3A68"/>
                <w:sz w:val="16"/>
              </w:rPr>
              <w:t>in FY2031 (replaces listing earn-out)</w:t>
            </w:r>
          </w:p>
        </w:tc>
        <w:tc>
          <w:tcPr>
            <w:tcW w:type="dxa" w:w="1152"/>
            <w:shd w:val="clear" w:color="auto" w:fill="FBD2BC"/>
          </w:tcPr>
          <w:p>
            <w:pPr>
              <w:jc w:val="right"/>
            </w:pPr>
            <w:r/>
            <w:r>
              <w:rPr>
                <w:b/>
                <w:color w:val="1F3A68"/>
                <w:sz w:val="16"/>
              </w:rPr>
              <w:t>$6.7M</w:t>
            </w:r>
          </w:p>
        </w:tc>
        <w:tc>
          <w:tcPr>
            <w:tcW w:type="dxa" w:w="1152"/>
            <w:shd w:val="clear" w:color="auto" w:fill="FBD2BC"/>
          </w:tcPr>
          <w:p>
            <w:pPr>
              <w:jc w:val="right"/>
            </w:pPr>
            <w:r/>
            <w:r>
              <w:rPr>
                <w:b/>
                <w:color w:val="1F3A68"/>
                <w:sz w:val="16"/>
              </w:rPr>
              <w:t>$9.6M</w:t>
            </w:r>
          </w:p>
        </w:tc>
        <w:tc>
          <w:tcPr>
            <w:tcW w:type="dxa" w:w="1152"/>
            <w:shd w:val="clear" w:color="auto" w:fill="FBD2BC"/>
          </w:tcPr>
          <w:p>
            <w:pPr>
              <w:jc w:val="right"/>
            </w:pPr>
            <w:r/>
            <w:r>
              <w:rPr>
                <w:b/>
                <w:color w:val="1F3A68"/>
                <w:sz w:val="16"/>
              </w:rPr>
              <w:t>$12.4M</w:t>
            </w:r>
          </w:p>
        </w:tc>
        <w:tc>
          <w:tcPr>
            <w:tcW w:type="dxa" w:w="2664"/>
            <w:shd w:val="clear" w:color="auto" w:fill="FBD2BC"/>
          </w:tcPr>
          <w:p>
            <w:r/>
            <w:r>
              <w:rPr>
                <w:b/>
                <w:color w:val="1F3A68"/>
                <w:sz w:val="16"/>
              </w:rPr>
              <w:t>Total stake ~0.59/0.84/1.09% → ~0.41/0.59/0.76% after</w:t>
            </w:r>
            <w:r>
              <w:br/>
            </w:r>
            <w:r>
              <w:rPr>
                <w:b/>
                <w:color w:val="1F3A68"/>
                <w:sz w:val="16"/>
              </w:rPr>
              <w:t>~30% dilution × ~$1.63B FY31 EV (16× v12 EBITDA).</w:t>
            </w:r>
            <w:r>
              <w:br/>
            </w:r>
            <w:r>
              <w:rPr>
                <w:b/>
                <w:color w:val="1F3A68"/>
                <w:sz w:val="16"/>
              </w:rPr>
              <w:t>Projection only; on SSLC-actuals case ~$0.7–1.3M.</w:t>
            </w:r>
          </w:p>
        </w:tc>
      </w:tr>
      <w:tr>
        <w:tc>
          <w:tcPr>
            <w:tcW w:type="dxa" w:w="3240"/>
            <w:shd w:val="clear" w:color="auto" w:fill="F26A21"/>
          </w:tcPr>
          <w:p>
            <w:r/>
            <w:r>
              <w:rPr>
                <w:b/>
                <w:color w:val="FFFFFF"/>
                <w:sz w:val="16"/>
              </w:rPr>
              <w:t>④ TOTAL IF STOCK HELD TO 2031</w:t>
            </w:r>
            <w:r>
              <w:br/>
            </w:r>
            <w:r>
              <w:rPr>
                <w:b/>
                <w:color w:val="FFFFFF"/>
                <w:sz w:val="16"/>
              </w:rPr>
              <w:t>(① + tank + milestones + 2031 stock)</w:t>
            </w:r>
          </w:p>
        </w:tc>
        <w:tc>
          <w:tcPr>
            <w:tcW w:type="dxa" w:w="1152"/>
            <w:shd w:val="clear" w:color="auto" w:fill="F26A21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$11.0M</w:t>
            </w:r>
          </w:p>
        </w:tc>
        <w:tc>
          <w:tcPr>
            <w:tcW w:type="dxa" w:w="1152"/>
            <w:shd w:val="clear" w:color="auto" w:fill="F26A21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$14.8M</w:t>
            </w:r>
          </w:p>
        </w:tc>
        <w:tc>
          <w:tcPr>
            <w:tcW w:type="dxa" w:w="1152"/>
            <w:shd w:val="clear" w:color="auto" w:fill="F26A21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$18.4M</w:t>
            </w:r>
          </w:p>
        </w:tc>
        <w:tc>
          <w:tcPr>
            <w:tcW w:type="dxa" w:w="2664"/>
            <w:shd w:val="clear" w:color="auto" w:fill="F26A21"/>
          </w:tcPr>
          <w:p>
            <w:r/>
            <w:r>
              <w:rPr>
                <w:b/>
                <w:color w:val="FFFFFF"/>
                <w:sz w:val="16"/>
              </w:rPr>
              <w:t>Alternative to ③, NOT added to it. Forward-looking</w:t>
            </w:r>
            <w:r>
              <w:br/>
            </w:r>
            <w:r>
              <w:rPr>
                <w:b/>
                <w:color w:val="FFFFFF"/>
                <w:sz w:val="16"/>
              </w:rPr>
              <w:t>projection, not a promise; RTO may not close.</w:t>
            </w:r>
          </w:p>
        </w:tc>
      </w:tr>
    </w:tbl>
    <w:p>
      <w:pPr>
        <w:spacing w:after="60" w:before="0"/>
      </w:pPr>
    </w:p>
    <w:p>
      <w:pPr>
        <w:keepNext/>
        <w:spacing w:after="40" w:before="60"/>
      </w:pPr>
      <w:r>
        <w:rPr>
          <w:b/>
          <w:i w:val="0"/>
          <w:color w:val="2E75B6"/>
          <w:sz w:val="21"/>
        </w:rPr>
        <w:t>Earn-Out Targets: FY27–FY31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232"/>
        <w:gridCol w:w="1224"/>
        <w:gridCol w:w="1224"/>
        <w:gridCol w:w="1224"/>
        <w:gridCol w:w="1224"/>
      </w:tblGrid>
      <w:tr>
        <w:tc>
          <w:tcPr>
            <w:tcW w:type="dxa" w:w="2664"/>
            <w:shd w:val="clear" w:color="auto" w:fill="1F3A68"/>
          </w:tcPr>
          <w:p>
            <w:r/>
            <w:r>
              <w:rPr>
                <w:b/>
                <w:color w:val="FFFFFF"/>
                <w:sz w:val="16"/>
              </w:rPr>
              <w:t>Earn-out</w:t>
            </w:r>
          </w:p>
        </w:tc>
        <w:tc>
          <w:tcPr>
            <w:tcW w:type="dxa" w:w="2232"/>
            <w:shd w:val="clear" w:color="auto" w:fill="1F3A68"/>
          </w:tcPr>
          <w:p>
            <w:r/>
            <w:r>
              <w:rPr>
                <w:b/>
                <w:color w:val="FFFFFF"/>
                <w:sz w:val="16"/>
              </w:rPr>
              <w:t>Target SSLC must hit</w:t>
            </w:r>
          </w:p>
        </w:tc>
        <w:tc>
          <w:tcPr>
            <w:tcW w:type="dxa" w:w="1224"/>
            <w:shd w:val="clear" w:color="auto" w:fill="1F3A6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224"/>
            <w:shd w:val="clear" w:color="auto" w:fill="1F3A6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Base</w:t>
            </w:r>
          </w:p>
        </w:tc>
        <w:tc>
          <w:tcPr>
            <w:tcW w:type="dxa" w:w="1224"/>
            <w:shd w:val="clear" w:color="auto" w:fill="1F3A6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224"/>
            <w:shd w:val="clear" w:color="auto" w:fill="1F3A6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Pays</w:t>
            </w:r>
          </w:p>
        </w:tc>
      </w:tr>
      <w:tr>
        <w:tc>
          <w:tcPr>
            <w:tcW w:type="dxa" w:w="2664"/>
          </w:tcPr>
          <w:p>
            <w:r/>
            <w:r>
              <w:rPr>
                <w:sz w:val="16"/>
              </w:rPr>
              <w:t>Tank earn-out</w:t>
            </w:r>
            <w:r>
              <w:br/>
            </w:r>
            <w:r>
              <w:rPr>
                <w:sz w:val="16"/>
              </w:rPr>
              <w:t>5% of IM tank revenue/yr,</w:t>
            </w:r>
            <w:r>
              <w:br/>
            </w:r>
            <w:r>
              <w:rPr>
                <w:sz w:val="16"/>
              </w:rPr>
              <w:t>cap $300K/yr, FY27–FY31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Revenue SSLC achieves</w:t>
            </w:r>
            <w:r>
              <w:br/>
            </w:r>
            <w:r>
              <w:rPr>
                <w:sz w:val="16"/>
              </w:rPr>
              <w:t>each year FY27–FY31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6"/>
              </w:rPr>
              <w:t>$3.0M/yr</w:t>
            </w:r>
            <w:r>
              <w:br/>
            </w:r>
            <w:r>
              <w:rPr>
                <w:sz w:val="16"/>
              </w:rPr>
              <w:t>→ $150K/yr</w:t>
            </w:r>
            <w:r>
              <w:br/>
            </w:r>
            <w:r>
              <w:rPr>
                <w:sz w:val="16"/>
              </w:rPr>
              <w:t>→ $750K total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6"/>
              </w:rPr>
              <w:t>$5.0M/yr</w:t>
            </w:r>
            <w:r>
              <w:br/>
            </w:r>
            <w:r>
              <w:rPr>
                <w:sz w:val="16"/>
              </w:rPr>
              <w:t>→ $250K/yr</w:t>
            </w:r>
            <w:r>
              <w:br/>
            </w:r>
            <w:r>
              <w:rPr>
                <w:sz w:val="16"/>
              </w:rPr>
              <w:t>→ $1.25M total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6"/>
              </w:rPr>
              <w:t>$6.0M+/yr</w:t>
            </w:r>
            <w:r>
              <w:br/>
            </w:r>
            <w:r>
              <w:rPr>
                <w:sz w:val="16"/>
              </w:rPr>
              <w:t>→ $300K/yr (cap)</w:t>
            </w:r>
            <w:r>
              <w:br/>
            </w:r>
            <w:r>
              <w:rPr>
                <w:sz w:val="16"/>
              </w:rPr>
              <w:t>→ $1.5M total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6"/>
              </w:rPr>
              <w:t>Annual,</w:t>
            </w:r>
            <w:r>
              <w:br/>
            </w:r>
            <w:r>
              <w:rPr>
                <w:sz w:val="16"/>
              </w:rPr>
              <w:t>FY27–FY31</w:t>
            </w:r>
          </w:p>
        </w:tc>
      </w:tr>
      <w:tr>
        <w:tc>
          <w:tcPr>
            <w:tcW w:type="dxa" w:w="2664"/>
            <w:shd w:val="clear" w:color="auto" w:fill="EFF6FF"/>
          </w:tcPr>
          <w:p>
            <w:r/>
            <w:r>
              <w:rPr>
                <w:sz w:val="16"/>
              </w:rPr>
              <w:t>M1: SSLC FY2026-27 rev ≥ $5.1M → $200K</w:t>
            </w:r>
          </w:p>
        </w:tc>
        <w:tc>
          <w:tcPr>
            <w:tcW w:type="dxa" w:w="2232"/>
            <w:shd w:val="clear" w:color="auto" w:fill="EFF6FF"/>
          </w:tcPr>
          <w:p>
            <w:r/>
            <w:r>
              <w:rPr>
                <w:sz w:val="16"/>
              </w:rPr>
              <w:t>SSLC FY27 annual revenue ≥ $5.1M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000000"/>
                <w:sz w:val="16"/>
              </w:rPr>
              <w:t>✓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000000"/>
                <w:sz w:val="16"/>
              </w:rPr>
              <w:t>✓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000000"/>
                <w:sz w:val="16"/>
              </w:rPr>
              <w:t>✓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000000"/>
                <w:sz w:val="16"/>
              </w:rPr>
              <w:t>FY28 Q1</w:t>
            </w:r>
            <w:r>
              <w:br/>
            </w:r>
            <w:r>
              <w:rPr>
                <w:color w:val="000000"/>
                <w:sz w:val="16"/>
              </w:rPr>
              <w:t>(if verified)</w:t>
            </w:r>
          </w:p>
        </w:tc>
      </w:tr>
      <w:tr>
        <w:tc>
          <w:tcPr>
            <w:tcW w:type="dxa" w:w="2664"/>
            <w:shd w:val="clear" w:color="auto" w:fill="EFF6FF"/>
          </w:tcPr>
          <w:p>
            <w:r/>
            <w:r>
              <w:rPr>
                <w:sz w:val="16"/>
              </w:rPr>
              <w:t>M2: Nebula OTV flight tank set delivered &amp;</w:t>
            </w:r>
            <w:r>
              <w:br/>
            </w:r>
            <w:r>
              <w:rPr>
                <w:sz w:val="16"/>
              </w:rPr>
              <w:t>accepted by Intuitive Machines → $200K</w:t>
            </w:r>
          </w:p>
        </w:tc>
        <w:tc>
          <w:tcPr>
            <w:tcW w:type="dxa" w:w="2232"/>
            <w:shd w:val="clear" w:color="auto" w:fill="EFF6FF"/>
          </w:tcPr>
          <w:p>
            <w:r/>
            <w:r>
              <w:rPr>
                <w:sz w:val="16"/>
              </w:rPr>
              <w:t>Tank set delivered and</w:t>
            </w:r>
            <w:r>
              <w:br/>
            </w:r>
            <w:r>
              <w:rPr>
                <w:sz w:val="16"/>
              </w:rPr>
              <w:t>accepted by IM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6B7280"/>
                <w:sz w:val="16"/>
              </w:rPr>
              <w:t>—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000000"/>
                <w:sz w:val="16"/>
              </w:rPr>
              <w:t>✓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000000"/>
                <w:sz w:val="16"/>
              </w:rPr>
              <w:t>✓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000000"/>
                <w:sz w:val="16"/>
              </w:rPr>
              <w:t>At customer</w:t>
            </w:r>
            <w:r>
              <w:br/>
            </w:r>
            <w:r>
              <w:rPr>
                <w:color w:val="000000"/>
                <w:sz w:val="16"/>
              </w:rPr>
              <w:t>acceptance</w:t>
            </w:r>
          </w:p>
        </w:tc>
      </w:tr>
      <w:tr>
        <w:tc>
          <w:tcPr>
            <w:tcW w:type="dxa" w:w="2664"/>
            <w:shd w:val="clear" w:color="auto" w:fill="EFF6FF"/>
          </w:tcPr>
          <w:p>
            <w:r/>
            <w:r>
              <w:rPr>
                <w:sz w:val="16"/>
              </w:rPr>
              <w:t>M3: SSLC annual rev ≥ $10M → $250K</w:t>
            </w:r>
          </w:p>
        </w:tc>
        <w:tc>
          <w:tcPr>
            <w:tcW w:type="dxa" w:w="2232"/>
            <w:shd w:val="clear" w:color="auto" w:fill="EFF6FF"/>
          </w:tcPr>
          <w:p>
            <w:r/>
            <w:r>
              <w:rPr>
                <w:sz w:val="16"/>
              </w:rPr>
              <w:t>SSLC annual revenue ≥ $10M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6B7280"/>
                <w:sz w:val="16"/>
              </w:rPr>
              <w:t>—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000000"/>
                <w:sz w:val="16"/>
              </w:rPr>
              <w:t>✓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000000"/>
                <w:sz w:val="16"/>
              </w:rPr>
              <w:t>✓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000000"/>
                <w:sz w:val="16"/>
              </w:rPr>
              <w:t>First yr hit</w:t>
            </w:r>
            <w:r>
              <w:br/>
            </w:r>
            <w:r>
              <w:rPr>
                <w:color w:val="000000"/>
                <w:sz w:val="16"/>
              </w:rPr>
              <w:t>(est. FY29)</w:t>
            </w:r>
          </w:p>
        </w:tc>
      </w:tr>
      <w:tr>
        <w:tc>
          <w:tcPr>
            <w:tcW w:type="dxa" w:w="2664"/>
            <w:shd w:val="clear" w:color="auto" w:fill="EFF6FF"/>
          </w:tcPr>
          <w:p>
            <w:r/>
            <w:r>
              <w:rPr>
                <w:sz w:val="16"/>
              </w:rPr>
              <w:t>M4: SSLC annual rev ≥ $20M → $250K</w:t>
            </w:r>
          </w:p>
        </w:tc>
        <w:tc>
          <w:tcPr>
            <w:tcW w:type="dxa" w:w="2232"/>
            <w:shd w:val="clear" w:color="auto" w:fill="EFF6FF"/>
          </w:tcPr>
          <w:p>
            <w:r/>
            <w:r>
              <w:rPr>
                <w:sz w:val="16"/>
              </w:rPr>
              <w:t>SSLC annual revenue ≥ $20M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6B7280"/>
                <w:sz w:val="16"/>
              </w:rPr>
              <w:t>—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6B7280"/>
                <w:sz w:val="16"/>
              </w:rPr>
              <w:t>—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000000"/>
                <w:sz w:val="16"/>
              </w:rPr>
              <w:t>✓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000000"/>
                <w:sz w:val="16"/>
              </w:rPr>
              <w:t>First yr hit</w:t>
            </w:r>
            <w:r>
              <w:br/>
            </w:r>
            <w:r>
              <w:rPr>
                <w:color w:val="000000"/>
                <w:sz w:val="16"/>
              </w:rPr>
              <w:t>(est. FY31)</w:t>
            </w:r>
          </w:p>
        </w:tc>
      </w:tr>
      <w:tr>
        <w:tc>
          <w:tcPr>
            <w:tcW w:type="dxa" w:w="2664"/>
            <w:shd w:val="clear" w:color="auto" w:fill="EFF6FF"/>
          </w:tcPr>
          <w:p>
            <w:r/>
            <w:r>
              <w:rPr>
                <w:sz w:val="16"/>
              </w:rPr>
              <w:t>M5: 50% reduction in tank build cost</w:t>
            </w:r>
            <w:r>
              <w:br/>
            </w:r>
            <w:r>
              <w:rPr>
                <w:sz w:val="16"/>
              </w:rPr>
              <w:t>(dome &amp; build-process automation proven) → $200K</w:t>
            </w:r>
          </w:p>
        </w:tc>
        <w:tc>
          <w:tcPr>
            <w:tcW w:type="dxa" w:w="2232"/>
            <w:shd w:val="clear" w:color="auto" w:fill="EFF6FF"/>
          </w:tcPr>
          <w:p>
            <w:r/>
            <w:r>
              <w:rPr>
                <w:sz w:val="16"/>
              </w:rPr>
              <w:t>50% cost reduction proven</w:t>
            </w:r>
            <w:r>
              <w:br/>
            </w:r>
            <w:r>
              <w:rPr>
                <w:sz w:val="16"/>
              </w:rPr>
              <w:t>via dome &amp; process automation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6B7280"/>
                <w:sz w:val="16"/>
              </w:rPr>
              <w:t>—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6B7280"/>
                <w:sz w:val="16"/>
              </w:rPr>
              <w:t>—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000000"/>
                <w:sz w:val="16"/>
              </w:rPr>
              <w:t>✓</w:t>
            </w:r>
          </w:p>
        </w:tc>
        <w:tc>
          <w:tcPr>
            <w:tcW w:type="dxa" w:w="1224"/>
            <w:shd w:val="clear" w:color="auto" w:fill="EFF6FF"/>
          </w:tcPr>
          <w:p>
            <w:pPr>
              <w:jc w:val="center"/>
            </w:pPr>
            <w:r/>
            <w:r>
              <w:rPr>
                <w:color w:val="000000"/>
                <w:sz w:val="16"/>
              </w:rPr>
              <w:t>When proven</w:t>
            </w:r>
            <w:r>
              <w:br/>
            </w:r>
            <w:r>
              <w:rPr>
                <w:color w:val="000000"/>
                <w:sz w:val="16"/>
              </w:rPr>
              <w:t>(est. FY27–28)</w:t>
            </w:r>
          </w:p>
        </w:tc>
      </w:tr>
      <w:tr>
        <w:tc>
          <w:tcPr>
            <w:tcW w:type="dxa" w:w="2664"/>
          </w:tcPr>
          <w:p>
            <w:r/>
            <w:r>
              <w:rPr>
                <w:sz w:val="16"/>
              </w:rPr>
              <w:t>Exos stock earn-out at RTO listing</w:t>
            </w:r>
            <w:r>
              <w:br/>
            </w:r>
            <w:r>
              <w:rPr>
                <w:sz w:val="16"/>
              </w:rPr>
              <w:t>(additional to ~0.59% EAI up-front)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Issued at RTO listing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6"/>
              </w:rPr>
              <w:t>$0</w:t>
            </w:r>
            <w:r>
              <w:br/>
            </w:r>
            <w:r>
              <w:rPr>
                <w:sz w:val="16"/>
              </w:rPr>
              <w:t>(0.0%)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6"/>
              </w:rPr>
              <w:t>$625K</w:t>
            </w:r>
            <w:r>
              <w:br/>
            </w:r>
            <w:r>
              <w:rPr>
                <w:sz w:val="16"/>
              </w:rPr>
              <w:t>(0.25%)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6"/>
              </w:rPr>
              <w:t>$1,500K</w:t>
            </w:r>
            <w:r>
              <w:br/>
            </w:r>
            <w:r>
              <w:rPr>
                <w:sz w:val="16"/>
              </w:rPr>
              <w:t>(0.50%)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6"/>
              </w:rPr>
              <w:t>Post-RTO</w:t>
            </w:r>
            <w:r>
              <w:br/>
            </w:r>
            <w:r>
              <w:rPr>
                <w:sz w:val="16"/>
              </w:rPr>
              <w:t>~FY29</w:t>
            </w:r>
          </w:p>
        </w:tc>
      </w:tr>
      <w:tr>
        <w:tc>
          <w:tcPr>
            <w:tcW w:type="dxa" w:w="2664"/>
            <w:shd w:val="clear" w:color="auto" w:fill="D1FAE5"/>
          </w:tcPr>
          <w:p>
            <w:r/>
            <w:r>
              <w:rPr>
                <w:b/>
                <w:sz w:val="16"/>
              </w:rPr>
              <w:t>TOTAL EARN-OUTS (5-yr, ③ minus ②)</w:t>
            </w:r>
          </w:p>
        </w:tc>
        <w:tc>
          <w:tcPr>
            <w:tcW w:type="dxa" w:w="2232"/>
            <w:shd w:val="clear" w:color="auto" w:fill="D1FAE5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1224"/>
            <w:shd w:val="clear" w:color="auto" w:fill="D1FAE5"/>
          </w:tcPr>
          <w:p>
            <w:pPr>
              <w:jc w:val="center"/>
            </w:pPr>
            <w:r/>
            <w:r>
              <w:rPr>
                <w:b/>
                <w:sz w:val="16"/>
              </w:rPr>
              <w:t>$950K</w:t>
            </w:r>
          </w:p>
        </w:tc>
        <w:tc>
          <w:tcPr>
            <w:tcW w:type="dxa" w:w="1224"/>
            <w:shd w:val="clear" w:color="auto" w:fill="D1FAE5"/>
          </w:tcPr>
          <w:p>
            <w:pPr>
              <w:jc w:val="center"/>
            </w:pPr>
            <w:r/>
            <w:r>
              <w:rPr>
                <w:b/>
                <w:sz w:val="16"/>
              </w:rPr>
              <w:t>$2,525K</w:t>
            </w:r>
          </w:p>
        </w:tc>
        <w:tc>
          <w:tcPr>
            <w:tcW w:type="dxa" w:w="1224"/>
            <w:shd w:val="clear" w:color="auto" w:fill="D1FAE5"/>
          </w:tcPr>
          <w:p>
            <w:pPr>
              <w:jc w:val="center"/>
            </w:pPr>
            <w:r/>
            <w:r>
              <w:rPr>
                <w:b/>
                <w:sz w:val="16"/>
              </w:rPr>
              <w:t>$4,100K</w:t>
            </w:r>
          </w:p>
        </w:tc>
        <w:tc>
          <w:tcPr>
            <w:tcW w:type="dxa" w:w="1224"/>
            <w:shd w:val="clear" w:color="auto" w:fill="D1FAE5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</w:tbl>
    <w:p>
      <w:pPr>
        <w:spacing w:after="40" w:before="0"/>
      </w:pPr>
    </w:p>
    <w:p>
      <w:pPr>
        <w:spacing w:after="40" w:before="0"/>
      </w:pPr>
      <w:r>
        <w:rPr>
          <w:b w:val="0"/>
          <w:i/>
          <w:color w:val="606060"/>
          <w:sz w:val="17"/>
        </w:rPr>
        <w:t>Earn-out totals verified: Low $750K+$200K+$0=$950K ✓  Base $1,250K+$650K+$625K=$2,525K ✓  High $1,500K+$1,100K+$1,500K=$4,100K ✓  (each = ③ minus ② = ③ minus $4,360K)</w:t>
      </w:r>
    </w:p>
    <w:p>
      <w:pPr>
        <w:spacing w:after="40" w:before="0"/>
      </w:pPr>
      <w:r>
        <w:rPr>
          <w:b w:val="0"/>
          <w:i/>
          <w:color w:val="606060"/>
          <w:sz w:val="17"/>
        </w:rPr>
        <w:t>EAI units: $1.0M EAI issued to key SSLC personnel (Rule 504, ~0.59% FD) at close; not pro-rata to cap table; part of RTO public float; freely tradeable at listing (no lockup). Earn-out stock (0.0–0.5% additional) at RTO listing. Full model: EXOS_SSLC_OptionB_Acquisition_Model_2026-10-07.xlsx → 'EAI Lockup &amp; Liquidity' and 'Total Compensation' sheets.</w:t>
      </w:r>
    </w:p>
    <w:p>
      <w:pPr>
        <w:keepNext/>
        <w:spacing w:after="60" w:before="60"/>
      </w:pPr>
      <w:r>
        <w:rPr>
          <w:b/>
          <w:i w:val="0"/>
          <w:color w:val="1F3A68"/>
          <w:sz w:val="24"/>
        </w:rPr>
        <w:t>3.  Key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5903"/>
      </w:tblGrid>
      <w:tr>
        <w:tc>
          <w:tcPr>
            <w:tcW w:type="dxa" w:w="2736"/>
            <w:shd w:val="clear" w:color="auto" w:fill="1F3A68"/>
          </w:tcPr>
          <w:p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5904"/>
            <w:shd w:val="clear" w:color="auto" w:fill="1F3A68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Agreement basis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May 2025 Asset Acquisition Agreement, §3 exclusivity trigger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Total commitment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$4,360,000 base at close ($2.51M cash + $60K costs + $790K Exos stake credit + $1.0M EAI to key personnel at 409A, Rule 504); 5% outside svc fee on cash proceeds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Exclusivity period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90 days from SSLC confirmation + 60-day extension if significant progress being made; not unreasonably withheld (§3)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Holdback (§7)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5% escrow, released at 12-month anniversary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SSLC debts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Not assumed by Exos; SSLC's own responsibility. Removed from offer 10/10.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SSLC employees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Exos offers employment to SSLC employees on terms no less favorable than current (incl. comp &amp; benefits), subject to Exos hiring policies + confirmatory diligence; key-employee option pool set in the Definitive Agreement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DRAFT — NEGOTIATING TERMS — not a final or binding offer</w:t>
            </w:r>
          </w:p>
        </w:tc>
      </w:tr>
    </w:tbl>
    <w:p>
      <w:pPr>
        <w:spacing w:after="60" w:before="0"/>
      </w:pPr>
    </w:p>
    <w:p>
      <w:pPr>
        <w:spacing w:after="40" w:before="0"/>
      </w:pPr>
      <w:r>
        <w:rPr>
          <w:b w:val="0"/>
          <w:i/>
          <w:color w:val="606060"/>
          <w:sz w:val="17"/>
        </w:rPr>
        <w:t>Rule 504: $1.0M toward $10M rolling 12-month cap; U.S.-only (Japan round is Reg S — keep distinct). EAI timeline: committed at board acceptance → issued at financing close (Q1 FY27 targeted) → freely tradeable at RTO listing (targeted ~6 mo post-close; not assured). Full detail: model → 'EAI Lockup &amp; Liquidity' sheet.</w:t>
      </w:r>
    </w:p>
    <w:p>
      <w:pPr>
        <w:spacing w:after="40" w:before="0"/>
      </w:pPr>
      <w:r>
        <w:rPr>
          <w:b w:val="0"/>
          <w:i/>
          <w:color w:val="606060"/>
          <w:sz w:val="17"/>
        </w:rPr>
        <w:t>Full model: EXOS_SSLC_OptionB_Acquisition_Model_2026-10-07.xlsx  ·  With-vs-Without: sheet 'With vs Without Exos Capital'  ·  Eqvista fairness opinion: engaged 8/14/2026; agreement still unsigned (held ~1 month). Projections are forward-looking (SEC Rule 10b-5 applies); RTO stock projection (mgmt assumption, not a guarantee): see model 'Total Compensation' / 'Returns and Dilution'  ·  Exclusivity rescue options: SSLC_Exclusivity_Rescue_Options_and_Draft_Message_2026-10-07_DRAFT_v2.docx</w:t>
      </w:r>
    </w:p>
    <w:p>
      <w:pPr>
        <w:spacing w:after="0" w:before="80"/>
        <w:jc w:val="center"/>
      </w:pPr>
      <w:r>
        <w:rPr>
          <w:b/>
          <w:i w:val="0"/>
          <w:color w:val="C00000"/>
          <w:sz w:val="17"/>
        </w:rPr>
        <w:t>DRAFT — INTERNAL — NEGOTIATING TERMS — John Quinn, CEO, Exos Aerospace — 2026-10-12</w:t>
      </w:r>
    </w:p>
    <w:sectPr w:rsidR="00D02269" w:rsidRPr="007C623E" w:rsidSect="006E0F85">
      <w:headerReference w:type="default" r:id="rId12"/>
      <w:footerReference w:type="default" r:id="rId14"/>
      <w:pgSz w:w="12240" w:h="15840"/>
      <w:pgMar w:top="1584" w:right="576" w:bottom="151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9F3A" w14:textId="77777777" w:rsidR="00A928DF" w:rsidRDefault="00A928DF" w:rsidP="00A00680">
      <w:r>
        <w:separator/>
      </w:r>
    </w:p>
  </w:endnote>
  <w:endnote w:type="continuationSeparator" w:id="0">
    <w:p w14:paraId="7F79A9D2" w14:textId="77777777" w:rsidR="00A928DF" w:rsidRDefault="00A928DF" w:rsidP="00A0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77A47" w14:textId="77777777" w:rsidR="007D3D8F" w:rsidRDefault="007D3D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exos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7924" w14:textId="77777777" w:rsidR="007D3D8F" w:rsidRDefault="007D3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324B" w14:textId="77777777" w:rsidR="00A928DF" w:rsidRDefault="00A928DF" w:rsidP="00A00680">
      <w:r>
        <w:separator/>
      </w:r>
    </w:p>
  </w:footnote>
  <w:footnote w:type="continuationSeparator" w:id="0">
    <w:p w14:paraId="2BD1F19D" w14:textId="77777777" w:rsidR="00A928DF" w:rsidRDefault="00A928DF" w:rsidP="00A00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6660" w14:textId="77777777" w:rsidR="007D3D8F" w:rsidRDefault="007D3D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exos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6036" w14:textId="77777777" w:rsidR="007D3D8F" w:rsidRDefault="007D3D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731"/>
    <w:multiLevelType w:val="multilevel"/>
    <w:tmpl w:val="2A1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16D92"/>
    <w:multiLevelType w:val="multilevel"/>
    <w:tmpl w:val="B816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E4D6A"/>
    <w:multiLevelType w:val="multilevel"/>
    <w:tmpl w:val="3E8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03D6"/>
    <w:multiLevelType w:val="hybridMultilevel"/>
    <w:tmpl w:val="B3DEC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823CD"/>
    <w:multiLevelType w:val="multilevel"/>
    <w:tmpl w:val="517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30758"/>
    <w:multiLevelType w:val="multilevel"/>
    <w:tmpl w:val="B36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A6222"/>
    <w:multiLevelType w:val="multilevel"/>
    <w:tmpl w:val="086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15241"/>
    <w:multiLevelType w:val="multilevel"/>
    <w:tmpl w:val="B8C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E40D4"/>
    <w:multiLevelType w:val="multilevel"/>
    <w:tmpl w:val="928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66CEB"/>
    <w:multiLevelType w:val="multilevel"/>
    <w:tmpl w:val="7E2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32D0"/>
    <w:multiLevelType w:val="multilevel"/>
    <w:tmpl w:val="2D4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A1CBE"/>
    <w:multiLevelType w:val="multilevel"/>
    <w:tmpl w:val="976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A4EB0"/>
    <w:multiLevelType w:val="multilevel"/>
    <w:tmpl w:val="DB7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44693">
    <w:abstractNumId w:val="3"/>
  </w:num>
  <w:num w:numId="2" w16cid:durableId="1353528203">
    <w:abstractNumId w:val="1"/>
  </w:num>
  <w:num w:numId="3" w16cid:durableId="1015813018">
    <w:abstractNumId w:val="7"/>
  </w:num>
  <w:num w:numId="4" w16cid:durableId="2015566524">
    <w:abstractNumId w:val="4"/>
  </w:num>
  <w:num w:numId="5" w16cid:durableId="870142476">
    <w:abstractNumId w:val="8"/>
  </w:num>
  <w:num w:numId="6" w16cid:durableId="692537600">
    <w:abstractNumId w:val="9"/>
  </w:num>
  <w:num w:numId="7" w16cid:durableId="22829662">
    <w:abstractNumId w:val="6"/>
  </w:num>
  <w:num w:numId="8" w16cid:durableId="1236429732">
    <w:abstractNumId w:val="0"/>
  </w:num>
  <w:num w:numId="9" w16cid:durableId="813722674">
    <w:abstractNumId w:val="5"/>
  </w:num>
  <w:num w:numId="10" w16cid:durableId="1891838380">
    <w:abstractNumId w:val="12"/>
  </w:num>
  <w:num w:numId="11" w16cid:durableId="1136295167">
    <w:abstractNumId w:val="11"/>
  </w:num>
  <w:num w:numId="12" w16cid:durableId="111945368">
    <w:abstractNumId w:val="2"/>
  </w:num>
  <w:num w:numId="13" w16cid:durableId="375282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3NDUzNDQ0tzQzMjNV0lEKTi0uzszPAykwrAUA/DiwziwAAAA="/>
  </w:docVars>
  <w:rsids>
    <w:rsidRoot w:val="00347922"/>
    <w:rsid w:val="000D2A14"/>
    <w:rsid w:val="000D3330"/>
    <w:rsid w:val="000E645B"/>
    <w:rsid w:val="000E6BAA"/>
    <w:rsid w:val="001316D3"/>
    <w:rsid w:val="00147251"/>
    <w:rsid w:val="00153AFE"/>
    <w:rsid w:val="00166FF3"/>
    <w:rsid w:val="001C45E9"/>
    <w:rsid w:val="001C5A7E"/>
    <w:rsid w:val="001F4FE4"/>
    <w:rsid w:val="001F5095"/>
    <w:rsid w:val="00255B59"/>
    <w:rsid w:val="00265C2B"/>
    <w:rsid w:val="0029014E"/>
    <w:rsid w:val="002A2DC3"/>
    <w:rsid w:val="002A5D3B"/>
    <w:rsid w:val="00317CDE"/>
    <w:rsid w:val="00347922"/>
    <w:rsid w:val="0035562B"/>
    <w:rsid w:val="003834E3"/>
    <w:rsid w:val="00432689"/>
    <w:rsid w:val="00453A15"/>
    <w:rsid w:val="0045462F"/>
    <w:rsid w:val="00454EA1"/>
    <w:rsid w:val="00460E09"/>
    <w:rsid w:val="004B0C4B"/>
    <w:rsid w:val="005205E5"/>
    <w:rsid w:val="005C3232"/>
    <w:rsid w:val="005C77DB"/>
    <w:rsid w:val="00633CFF"/>
    <w:rsid w:val="00680BDE"/>
    <w:rsid w:val="006E0F85"/>
    <w:rsid w:val="00714763"/>
    <w:rsid w:val="007C623E"/>
    <w:rsid w:val="007D3D8F"/>
    <w:rsid w:val="008519E3"/>
    <w:rsid w:val="008D5214"/>
    <w:rsid w:val="008E1AFE"/>
    <w:rsid w:val="00905EFA"/>
    <w:rsid w:val="00961AC9"/>
    <w:rsid w:val="0098334F"/>
    <w:rsid w:val="00987FDA"/>
    <w:rsid w:val="009A7969"/>
    <w:rsid w:val="00A00680"/>
    <w:rsid w:val="00A21352"/>
    <w:rsid w:val="00A4282A"/>
    <w:rsid w:val="00A474CA"/>
    <w:rsid w:val="00A928DF"/>
    <w:rsid w:val="00AC6C96"/>
    <w:rsid w:val="00AF12DB"/>
    <w:rsid w:val="00B779D5"/>
    <w:rsid w:val="00B9321D"/>
    <w:rsid w:val="00BD08F1"/>
    <w:rsid w:val="00C321D3"/>
    <w:rsid w:val="00C8460F"/>
    <w:rsid w:val="00CD2C93"/>
    <w:rsid w:val="00D02269"/>
    <w:rsid w:val="00D82768"/>
    <w:rsid w:val="00DA7C10"/>
    <w:rsid w:val="00ED4B89"/>
    <w:rsid w:val="00EF2670"/>
    <w:rsid w:val="00F04389"/>
    <w:rsid w:val="00F17714"/>
    <w:rsid w:val="00F86327"/>
    <w:rsid w:val="00F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176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hAnsi="Calibri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680"/>
  </w:style>
  <w:style w:type="paragraph" w:styleId="Footer">
    <w:name w:val="footer"/>
    <w:basedOn w:val="Normal"/>
    <w:link w:val="Foot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680"/>
  </w:style>
  <w:style w:type="paragraph" w:styleId="ListParagraph">
    <w:name w:val="List Paragraph"/>
    <w:basedOn w:val="Normal"/>
    <w:uiPriority w:val="34"/>
    <w:qFormat/>
    <w:rsid w:val="001F4FE4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customStyle="1" w:styleId="text-token-text-secondary">
    <w:name w:val="text-token-text-secondary"/>
    <w:basedOn w:val="DefaultParagraphFont"/>
    <w:rsid w:val="001F4FE4"/>
  </w:style>
  <w:style w:type="character" w:styleId="Hyperlink">
    <w:name w:val="Hyperlink"/>
    <w:basedOn w:val="DefaultParagraphFont"/>
    <w:uiPriority w:val="99"/>
    <w:unhideWhenUsed/>
    <w:rsid w:val="001F4F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4F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4FE4"/>
    <w:rPr>
      <w:b/>
      <w:bCs/>
    </w:rPr>
  </w:style>
  <w:style w:type="character" w:styleId="UnresolvedMention">
    <w:name w:val="Unresolved Mention"/>
    <w:basedOn w:val="DefaultParagraphFont"/>
    <w:uiPriority w:val="99"/>
    <w:rsid w:val="00BD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3" ma:contentTypeDescription="Create a new document." ma:contentTypeScope="" ma:versionID="263de4db15e980f31c7a9f0e35eb1966">
  <xsd:schema xmlns:xsd="http://www.w3.org/2001/XMLSchema" xmlns:xs="http://www.w3.org/2001/XMLSchema" xmlns:p="http://schemas.microsoft.com/office/2006/metadata/properties" xmlns:ns2="e1558a10-1879-455f-b4fa-cfdedf85505e" targetNamespace="http://schemas.microsoft.com/office/2006/metadata/properties" ma:root="true" ma:fieldsID="a929d5d4558f9b725dc8e1c5ef0a4e28" ns2:_="">
    <xsd:import namespace="e1558a10-1879-455f-b4fa-cfdedf855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58a10-1879-455f-b4fa-cfdedf855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16354C-C618-42C0-890C-B79BDC3B5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58a10-1879-455f-b4fa-cfdedf855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5F3B5-F71C-B54D-921B-25B8BE513B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C96887-8CC6-4F7F-BF09-CD8A4A0BF1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B38FABD-2EB8-4C41-9791-D9CBE1419B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Huber</dc:creator>
  <cp:keywords/>
  <dc:description/>
  <cp:lastModifiedBy>John Quinn</cp:lastModifiedBy>
  <cp:revision>26</cp:revision>
  <dcterms:created xsi:type="dcterms:W3CDTF">2025-08-23T21:06:00Z</dcterms:created>
  <dcterms:modified xsi:type="dcterms:W3CDTF">2026-05-22T01:37:00Z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