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EXOS-EXP-001-0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08/28/2026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ITAR/EAR-Compliant Supplier Manufacturing Request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standard, repeatable steps Exos follows to request a supplier to manufacture a rocket part while remaining fully compliant with the International Traffic in Arms Regulations (ITAR, 22 CFR 120-130) and the Export Administration Regulations (EAR, 15 CFR 730-774), so that the part is made only by a U.S.-domiciled supplier that is already recorded in Mission Control and has cleared Exos supplier due diligence, and so that no controlled technical data is released without an Empowered Official authorization</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Exos rocket parts and their technical data (drawings, CAD models, specifications, dimensions, materials, and processes) are frequently ITAR-controlled defense articles and technical data (for example USML Category IV launch-vehicle components or Category XV spacecraft components) or are controlled under the EAR. Releasing that technical data to a supplier - even a domestic one - can be an export or a deemed export if a foreign person accesses it. Accordingly, every supplier manufacturing request is gated behind four controls: (1) an export jurisdiction and classification determination for both the part and the technical data; (2) a requirement that the supplier be U.S.-domiciled, already in Mission Control, and cleared through Exos due diligence; (3) technical-data marking, minimization, and access control; and (4) written Empowered Official authorization before any controlled technical data is released or any purchase order is issued. This procedure applies to any request to have a supplier fabricate, machine, build, or process a rocket part or component from Exos-furnished technical data. It does not authorize foreign suppliers, foreign places of performance, or foreign-person access - any of those stops the process and routes to the Empowered Official. If a vendor is not already in Mission Control, the requestor must add the company to the CRM and have Exobot complete due diligence before anything is sent to the vendor, and a signed NDA is required before any drawings or specifications are released.</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Classify the Part and Its Technical Data</w:t>
      </w:r>
    </w:p>
    <w:p>
      <w:pPr>
        <w:spacing w:after="60"/>
        <w:ind w:left="360"/>
      </w:pPr>
      <w:r>
        <w:rPr>
          <w:rFonts w:ascii="Calibri" w:hAnsi="Calibri"/>
          <w:b w:val="0"/>
          <w:i w:val="0"/>
          <w:color w:val="0B2A4A"/>
          <w:sz w:val="24"/>
        </w:rPr>
        <w:t xml:space="preserve">☐  </w:t>
      </w:r>
      <w:r>
        <w:rPr>
          <w:rFonts w:ascii="Calibri" w:hAnsi="Calibri"/>
          <w:b w:val="0"/>
          <w:i w:val="0"/>
          <w:color w:val="1C1C1C"/>
          <w:sz w:val="21"/>
        </w:rPr>
        <w:t>Before contacting any supplier, determine the export jurisdiction of BOTH the physical part and the technical data to be shared: ITAR (U.S. Munitions List) versus EAR (ECCN or EAR99).</w:t>
      </w:r>
    </w:p>
    <w:p>
      <w:pPr>
        <w:spacing w:after="60"/>
        <w:ind w:left="360"/>
      </w:pPr>
      <w:r>
        <w:rPr>
          <w:rFonts w:ascii="Calibri" w:hAnsi="Calibri"/>
          <w:b w:val="0"/>
          <w:i w:val="0"/>
          <w:color w:val="0B2A4A"/>
          <w:sz w:val="24"/>
        </w:rPr>
        <w:t xml:space="preserve">☐  </w:t>
      </w:r>
      <w:r>
        <w:rPr>
          <w:rFonts w:ascii="Calibri" w:hAnsi="Calibri"/>
          <w:b w:val="0"/>
          <w:i w:val="0"/>
          <w:color w:val="1C1C1C"/>
          <w:sz w:val="21"/>
        </w:rPr>
        <w:t>Identify the specific USML category (e.g., Category IV for launch vehicles/missiles, Category XV for spacecraft) or the applicable ECCN; if the jurisdiction or classification is uncertain, request a formal classification or Commodity Jurisdiction determination through the Empowered Official and do NOT guess.</w:t>
      </w:r>
    </w:p>
    <w:p>
      <w:pPr>
        <w:spacing w:after="60"/>
        <w:ind w:left="360"/>
      </w:pPr>
      <w:r>
        <w:rPr>
          <w:rFonts w:ascii="Calibri" w:hAnsi="Calibri"/>
          <w:b w:val="0"/>
          <w:i w:val="0"/>
          <w:color w:val="0B2A4A"/>
          <w:sz w:val="24"/>
        </w:rPr>
        <w:t xml:space="preserve">☐  </w:t>
      </w:r>
      <w:r>
        <w:rPr>
          <w:rFonts w:ascii="Calibri" w:hAnsi="Calibri"/>
          <w:b w:val="0"/>
          <w:i w:val="0"/>
          <w:color w:val="1C1C1C"/>
          <w:sz w:val="21"/>
        </w:rPr>
        <w:t>Assemble the exact technical data package (drawings, CAD, specifications, process instructions) that must be shared with the supplier; the package inherits the most restrictive classification of any item in it.</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the determination - jurisdiction, category or ECCN, rationale, determiner, and date - in the export-control record for the part.</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part is a USML defense article, confirm Exos's DDTC registration (22 CFR 122) is current before proceeding.</w:t>
      </w:r>
    </w:p>
    <w:p>
      <w:pPr>
        <w:keepNext/>
        <w:spacing w:before="140" w:after="60"/>
      </w:pPr>
      <w:r>
        <w:rPr>
          <w:rFonts w:ascii="Calibri" w:hAnsi="Calibri"/>
          <w:b/>
          <w:i w:val="0"/>
          <w:color w:val="0B2A4A"/>
          <w:sz w:val="22"/>
        </w:rPr>
        <w:t>Task 2 - Confirm the Vendor Is in Mission Control and DD-Cleared, or Onboard It First</w:t>
      </w:r>
    </w:p>
    <w:p>
      <w:pPr>
        <w:spacing w:after="60"/>
        <w:ind w:left="360"/>
      </w:pPr>
      <w:r>
        <w:rPr>
          <w:rFonts w:ascii="Calibri" w:hAnsi="Calibri"/>
          <w:b w:val="0"/>
          <w:i w:val="0"/>
          <w:color w:val="0B2A4A"/>
          <w:sz w:val="24"/>
        </w:rPr>
        <w:t xml:space="preserve">☐  </w:t>
      </w:r>
      <w:r>
        <w:rPr>
          <w:rFonts w:ascii="Calibri" w:hAnsi="Calibri"/>
          <w:b w:val="0"/>
          <w:i w:val="0"/>
          <w:color w:val="1C1C1C"/>
          <w:sz w:val="21"/>
        </w:rPr>
        <w:t>Check whether the vendor already exists in the Exos Mission Control CRM / supplier registry.</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vendor is NOT already in the CRM, the requestor must add the company to the Mission Control CRM and request Exobot due diligence FIRST; do not contact the vendor or send anything - no request for quote, specifications, NDA, or drawings - until the vendor is onboarded and its due diligence is complete and CLEARED.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vendor's Due Diligence status is CLEARED in the Mission Control supplier DD registry (OFAC/denied-parties, SAM, debarment, and FOCI screening complete and passing); do not proceed while due diligence is pending or failed.</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the vendor is a U.S.-domiciled entity that will perform the work in the United States; reject any foreign supplier or foreign place of performance - this procedure is U.S.-only by design.</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vendor is not on any denied or debarred list (ITAR 22 CFR 127.7 debarred parties, EAR Denied Persons and Entity List, OFAC SDN, SAM exclusions); if the DD clearance is older than the Exos re-screen interval, request a fresh Exobot screen before proceeding.</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vendor is U.S.-domiciled but has foreign-person employees or foreign ownership, control, or influence (FOCI), STOP and route to the Empowered Official - releasing technical data may be a deemed export requiring separate authorization or access controls.</w:t>
      </w:r>
    </w:p>
    <w:p>
      <w:pPr>
        <w:keepNext/>
        <w:spacing w:before="140" w:after="60"/>
      </w:pPr>
      <w:r>
        <w:rPr>
          <w:rFonts w:ascii="Calibri" w:hAnsi="Calibri"/>
          <w:b/>
          <w:i w:val="0"/>
          <w:color w:val="0B2A4A"/>
          <w:sz w:val="22"/>
        </w:rPr>
        <w:t>Task 3 - Put Export-Control Agreements and Flow-Downs in Place</w:t>
      </w:r>
    </w:p>
    <w:p>
      <w:pPr>
        <w:spacing w:after="60"/>
        <w:ind w:left="360"/>
      </w:pPr>
      <w:r>
        <w:rPr>
          <w:rFonts w:ascii="Calibri" w:hAnsi="Calibri"/>
          <w:b w:val="0"/>
          <w:i w:val="0"/>
          <w:color w:val="0B2A4A"/>
          <w:sz w:val="24"/>
        </w:rPr>
        <w:t xml:space="preserve">☐  </w:t>
      </w:r>
      <w:r>
        <w:rPr>
          <w:rFonts w:ascii="Calibri" w:hAnsi="Calibri"/>
          <w:b w:val="0"/>
          <w:i w:val="0"/>
          <w:color w:val="1C1C1C"/>
          <w:sz w:val="21"/>
        </w:rPr>
        <w:t>A fully executed nondisclosure / proprietary-information agreement (NDA) that includes an export-control clause is REQUIRED before any drawings or technical data are sent to the vendor - no drawings or specifications go out until the NDA is signed and on file.</w:t>
      </w:r>
    </w:p>
    <w:p>
      <w:pPr>
        <w:spacing w:after="60"/>
        <w:ind w:left="360"/>
      </w:pPr>
      <w:r>
        <w:rPr>
          <w:rFonts w:ascii="Calibri" w:hAnsi="Calibri"/>
          <w:b w:val="0"/>
          <w:i w:val="0"/>
          <w:color w:val="0B2A4A"/>
          <w:sz w:val="24"/>
        </w:rPr>
        <w:t xml:space="preserve">☐  </w:t>
      </w:r>
      <w:r>
        <w:rPr>
          <w:rFonts w:ascii="Calibri" w:hAnsi="Calibri"/>
          <w:b w:val="0"/>
          <w:i w:val="0"/>
          <w:color w:val="1C1C1C"/>
          <w:sz w:val="21"/>
        </w:rPr>
        <w:t>Include ITAR/EAR compliance flow-down clauses in the purchase order or manufacturing agreement: U.S.-person handling only, no re-export or retransfer, no foreign-person access without Exos written authorization, and record-retention obligations.</w:t>
      </w:r>
    </w:p>
    <w:p>
      <w:pPr>
        <w:spacing w:after="60"/>
        <w:ind w:left="360"/>
      </w:pPr>
      <w:r>
        <w:rPr>
          <w:rFonts w:ascii="Calibri" w:hAnsi="Calibri"/>
          <w:b w:val="0"/>
          <w:i w:val="0"/>
          <w:color w:val="0B2A4A"/>
          <w:sz w:val="24"/>
        </w:rPr>
        <w:t xml:space="preserve">☐  </w:t>
      </w:r>
      <w:r>
        <w:rPr>
          <w:rFonts w:ascii="Calibri" w:hAnsi="Calibri"/>
          <w:b w:val="0"/>
          <w:i w:val="0"/>
          <w:color w:val="1C1C1C"/>
          <w:sz w:val="21"/>
        </w:rPr>
        <w:t>Obtain the supplier's written attestation that all personnel who will access the technical data are U.S. persons (22 CFR 120.62) and that the data will be stored and handled only within the United States.</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release any controlled technical data until the agreements and flow-down clauses are executed and on file.</w:t>
      </w:r>
    </w:p>
    <w:p>
      <w:pPr>
        <w:keepNext/>
        <w:spacing w:before="140" w:after="60"/>
      </w:pPr>
      <w:r>
        <w:rPr>
          <w:rFonts w:ascii="Calibri" w:hAnsi="Calibri"/>
          <w:b/>
          <w:i w:val="0"/>
          <w:color w:val="0B2A4A"/>
          <w:sz w:val="22"/>
        </w:rPr>
        <w:t>Task 4 - Mark, Minimize, and Control the Technical Data</w:t>
      </w:r>
    </w:p>
    <w:p>
      <w:pPr>
        <w:spacing w:after="60"/>
        <w:ind w:left="360"/>
      </w:pPr>
      <w:r>
        <w:rPr>
          <w:rFonts w:ascii="Calibri" w:hAnsi="Calibri"/>
          <w:b w:val="0"/>
          <w:i w:val="0"/>
          <w:color w:val="0B2A4A"/>
          <w:sz w:val="24"/>
        </w:rPr>
        <w:t xml:space="preserve">☐  </w:t>
      </w:r>
      <w:r>
        <w:rPr>
          <w:rFonts w:ascii="Calibri" w:hAnsi="Calibri"/>
          <w:b w:val="0"/>
          <w:i w:val="0"/>
          <w:color w:val="1C1C1C"/>
          <w:sz w:val="21"/>
        </w:rPr>
        <w:t>Apply the appropriate export-control marking/legend (ITAR or EAR, as classified in Task 1) to every drawing, model, and document in the package.</w:t>
      </w:r>
    </w:p>
    <w:p>
      <w:pPr>
        <w:spacing w:after="60"/>
        <w:ind w:left="360"/>
      </w:pPr>
      <w:r>
        <w:rPr>
          <w:rFonts w:ascii="Calibri" w:hAnsi="Calibri"/>
          <w:b w:val="0"/>
          <w:i w:val="0"/>
          <w:color w:val="0B2A4A"/>
          <w:sz w:val="24"/>
        </w:rPr>
        <w:t xml:space="preserve">☐  </w:t>
      </w:r>
      <w:r>
        <w:rPr>
          <w:rFonts w:ascii="Calibri" w:hAnsi="Calibri"/>
          <w:b w:val="0"/>
          <w:i w:val="0"/>
          <w:color w:val="1C1C1C"/>
          <w:sz w:val="21"/>
        </w:rPr>
        <w:t>Release only the minimum technical data necessary for the supplier to make the part (need-to-know); do not send the full data room when a single drawing suffices.</w:t>
      </w:r>
    </w:p>
    <w:p>
      <w:pPr>
        <w:spacing w:after="60"/>
        <w:ind w:left="360"/>
      </w:pPr>
      <w:r>
        <w:rPr>
          <w:rFonts w:ascii="Calibri" w:hAnsi="Calibri"/>
          <w:b w:val="0"/>
          <w:i w:val="0"/>
          <w:color w:val="0B2A4A"/>
          <w:sz w:val="24"/>
        </w:rPr>
        <w:t xml:space="preserve">☐  </w:t>
      </w:r>
      <w:r>
        <w:rPr>
          <w:rFonts w:ascii="Calibri" w:hAnsi="Calibri"/>
          <w:b w:val="0"/>
          <w:i w:val="0"/>
          <w:color w:val="1C1C1C"/>
          <w:sz w:val="21"/>
        </w:rPr>
        <w:t>Transmit the technical data only through the Exos approved, access-controlled channel (the export-screen / controlled-artifact release path); never use personal email, uncontrolled email, or personal or foreign cloud storage.</w:t>
      </w:r>
    </w:p>
    <w:p>
      <w:pPr>
        <w:spacing w:after="60"/>
        <w:ind w:left="360"/>
      </w:pPr>
      <w:r>
        <w:rPr>
          <w:rFonts w:ascii="Calibri" w:hAnsi="Calibri"/>
          <w:b w:val="0"/>
          <w:i w:val="0"/>
          <w:color w:val="0B2A4A"/>
          <w:sz w:val="24"/>
        </w:rPr>
        <w:t xml:space="preserve">☐  </w:t>
      </w:r>
      <w:r>
        <w:rPr>
          <w:rFonts w:ascii="Calibri" w:hAnsi="Calibri"/>
          <w:b w:val="0"/>
          <w:i w:val="0"/>
          <w:color w:val="1C1C1C"/>
          <w:sz w:val="21"/>
        </w:rPr>
        <w:t>Before sending, confirm the supplier's receiving personnel and storage location match the U.S.-person and U.S.-location attestation obtained in Task 3.</w:t>
      </w:r>
    </w:p>
    <w:p>
      <w:pPr>
        <w:keepNext/>
        <w:spacing w:before="140" w:after="60"/>
      </w:pPr>
      <w:r>
        <w:rPr>
          <w:rFonts w:ascii="Calibri" w:hAnsi="Calibri"/>
          <w:b/>
          <w:i w:val="0"/>
          <w:color w:val="0B2A4A"/>
          <w:sz w:val="22"/>
        </w:rPr>
        <w:t>Task 5 - Obtain Empowered Official Authorization to Release</w:t>
      </w:r>
    </w:p>
    <w:p>
      <w:pPr>
        <w:spacing w:after="60"/>
        <w:ind w:left="360"/>
      </w:pPr>
      <w:r>
        <w:rPr>
          <w:rFonts w:ascii="Calibri" w:hAnsi="Calibri"/>
          <w:b w:val="0"/>
          <w:i w:val="0"/>
          <w:color w:val="0B2A4A"/>
          <w:sz w:val="24"/>
        </w:rPr>
        <w:t xml:space="preserve">☐  </w:t>
      </w:r>
      <w:r>
        <w:rPr>
          <w:rFonts w:ascii="Calibri" w:hAnsi="Calibri"/>
          <w:b w:val="0"/>
          <w:i w:val="0"/>
          <w:color w:val="1C1C1C"/>
          <w:sz w:val="21"/>
        </w:rPr>
        <w:t>Compile the release package: the classification determination (Task 1), the supplier DD-clearance record (Task 2), the executed agreement and flow-downs (Task 3), the U.S.-person attestation, and the list of marked technical data to be released (Task 4).</w:t>
      </w:r>
    </w:p>
    <w:p>
      <w:pPr>
        <w:spacing w:after="60"/>
        <w:ind w:left="360"/>
      </w:pPr>
      <w:r>
        <w:rPr>
          <w:rFonts w:ascii="Calibri" w:hAnsi="Calibri"/>
          <w:b w:val="0"/>
          <w:i w:val="0"/>
          <w:color w:val="0B2A4A"/>
          <w:sz w:val="24"/>
        </w:rPr>
        <w:t xml:space="preserve">☐  </w:t>
      </w:r>
      <w:r>
        <w:rPr>
          <w:rFonts w:ascii="Calibri" w:hAnsi="Calibri"/>
          <w:b w:val="0"/>
          <w:i w:val="0"/>
          <w:color w:val="1C1C1C"/>
          <w:sz w:val="21"/>
        </w:rPr>
        <w:t>Route the release package to the Exos Empowered Official for written authorization to release the technical data to the supplier.</w:t>
      </w:r>
    </w:p>
    <w:p>
      <w:pPr>
        <w:spacing w:after="60"/>
        <w:ind w:left="360"/>
      </w:pPr>
      <w:r>
        <w:rPr>
          <w:rFonts w:ascii="Calibri" w:hAnsi="Calibri"/>
          <w:b w:val="0"/>
          <w:i w:val="0"/>
          <w:color w:val="0B2A4A"/>
          <w:sz w:val="24"/>
        </w:rPr>
        <w:t xml:space="preserve">☐  </w:t>
      </w:r>
      <w:r>
        <w:rPr>
          <w:rFonts w:ascii="Calibri" w:hAnsi="Calibri"/>
          <w:b w:val="0"/>
          <w:i w:val="0"/>
          <w:color w:val="1C1C1C"/>
          <w:sz w:val="21"/>
        </w:rPr>
        <w:t>The Empowered Official confirms that for a wholly domestic transaction handled by U.S. persons no license or agreement (TAA, MLA, or export license) is required - OR, if any foreign supplier, foreign place of performance, foreign-person access, or other export is involved, that the required DDTC or BIS authorization is already in hand.</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transmit any technical data or issue the purchase order until the written authorization is recorded.</w:t>
      </w:r>
    </w:p>
    <w:p>
      <w:pPr>
        <w:keepNext/>
        <w:spacing w:before="140" w:after="60"/>
      </w:pPr>
      <w:r>
        <w:rPr>
          <w:rFonts w:ascii="Calibri" w:hAnsi="Calibri"/>
          <w:b/>
          <w:i w:val="0"/>
          <w:color w:val="0B2A4A"/>
          <w:sz w:val="22"/>
        </w:rPr>
        <w:t>Task 6 - Issue the Request, Log It, and Retain Records</w:t>
      </w:r>
    </w:p>
    <w:p>
      <w:pPr>
        <w:spacing w:after="60"/>
        <w:ind w:left="360"/>
      </w:pPr>
      <w:r>
        <w:rPr>
          <w:rFonts w:ascii="Calibri" w:hAnsi="Calibri"/>
          <w:b w:val="0"/>
          <w:i w:val="0"/>
          <w:color w:val="0B2A4A"/>
          <w:sz w:val="24"/>
        </w:rPr>
        <w:t xml:space="preserve">☐  </w:t>
      </w:r>
      <w:r>
        <w:rPr>
          <w:rFonts w:ascii="Calibri" w:hAnsi="Calibri"/>
          <w:b w:val="0"/>
          <w:i w:val="0"/>
          <w:color w:val="1C1C1C"/>
          <w:sz w:val="21"/>
        </w:rPr>
        <w:t>Issue the purchase order or manufacturing request to the DD-cleared U.S. supplier with the export-control flow-down clauses attached.</w:t>
      </w:r>
    </w:p>
    <w:p>
      <w:pPr>
        <w:spacing w:after="60"/>
        <w:ind w:left="360"/>
      </w:pPr>
      <w:r>
        <w:rPr>
          <w:rFonts w:ascii="Calibri" w:hAnsi="Calibri"/>
          <w:b w:val="0"/>
          <w:i w:val="0"/>
          <w:color w:val="0B2A4A"/>
          <w:sz w:val="24"/>
        </w:rPr>
        <w:t xml:space="preserve">☐  </w:t>
      </w:r>
      <w:r>
        <w:rPr>
          <w:rFonts w:ascii="Calibri" w:hAnsi="Calibri"/>
          <w:b w:val="0"/>
          <w:i w:val="0"/>
          <w:color w:val="1C1C1C"/>
          <w:sz w:val="21"/>
        </w:rPr>
        <w:t>Release the marked technical data through the approved access-controlled channel exactly as authorized - no more, no less.</w:t>
      </w:r>
    </w:p>
    <w:p>
      <w:pPr>
        <w:spacing w:after="60"/>
        <w:ind w:left="360"/>
      </w:pPr>
      <w:r>
        <w:rPr>
          <w:rFonts w:ascii="Calibri" w:hAnsi="Calibri"/>
          <w:b w:val="0"/>
          <w:i w:val="0"/>
          <w:color w:val="0B2A4A"/>
          <w:sz w:val="24"/>
        </w:rPr>
        <w:t xml:space="preserve">☐  </w:t>
      </w:r>
      <w:r>
        <w:rPr>
          <w:rFonts w:ascii="Calibri" w:hAnsi="Calibri"/>
          <w:b w:val="0"/>
          <w:i w:val="0"/>
          <w:color w:val="1C1C1C"/>
          <w:sz w:val="21"/>
        </w:rPr>
        <w:t>Log the transaction in Mission Control against both the supplier and the part so the controlled release is auditable.</w:t>
      </w:r>
    </w:p>
    <w:p>
      <w:pPr>
        <w:spacing w:after="60"/>
        <w:ind w:left="360"/>
      </w:pPr>
      <w:r>
        <w:rPr>
          <w:rFonts w:ascii="Calibri" w:hAnsi="Calibri"/>
          <w:b w:val="0"/>
          <w:i w:val="0"/>
          <w:color w:val="0B2A4A"/>
          <w:sz w:val="24"/>
        </w:rPr>
        <w:t xml:space="preserve">☐  </w:t>
      </w:r>
      <w:r>
        <w:rPr>
          <w:rFonts w:ascii="Calibri" w:hAnsi="Calibri"/>
          <w:b w:val="0"/>
          <w:i w:val="0"/>
          <w:color w:val="1C1C1C"/>
          <w:sz w:val="21"/>
        </w:rPr>
        <w:t>Retain the complete export-control record - classification, DD clearance, agreements, attestations, authorization, purchase order, and transmittal log - for a minimum of five (5) years per ITAR 22 CFR 122.5 (and per EAR recordkeeping where applicable).</w:t>
      </w:r>
    </w:p>
    <w:p>
      <w:pPr>
        <w:spacing w:after="60"/>
        <w:ind w:left="360"/>
      </w:pPr>
      <w:r>
        <w:rPr>
          <w:rFonts w:ascii="Calibri" w:hAnsi="Calibri"/>
          <w:b w:val="0"/>
          <w:i w:val="0"/>
          <w:color w:val="0B2A4A"/>
          <w:sz w:val="24"/>
        </w:rPr>
        <w:t xml:space="preserve">☐  </w:t>
      </w:r>
      <w:r>
        <w:rPr>
          <w:rFonts w:ascii="Calibri" w:hAnsi="Calibri"/>
          <w:b w:val="0"/>
          <w:i w:val="0"/>
          <w:color w:val="1C1C1C"/>
          <w:sz w:val="21"/>
        </w:rPr>
        <w:t>On receipt, verify the part against specification, close the request, and report any compliance deviation to the Empowered Official immediately.</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Empowered Official / Exo   ·   Reference documents: ITAR, 22 CFR Parts 120-130 (incl. USML 22 CFR 121, DDTC registration 22 CFR 122, recordkeeping 22 CFR 122.5, debarred parties 22 CFR 127.7, U.S. person 22 CFR 120.62); EAR, 15 CFR Parts 730-774 (CCL/ECCN, Denied Persons/Entity List, deemed exports); OFAC SDN and SAM exclusions; Exos Supplier Due Diligence engine and Mission Control supplier DD registry; Exos export-screen / controlled-artifact release path (itar_ear_screen)</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EXOS-EXP-001-0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