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C00000"/>
          <w:sz w:val="20"/>
        </w:rPr>
        <w:t>DRAFT — for board discussion; not binding; subject to Counsel</w:t>
      </w:r>
    </w:p>
    <w:p>
      <w:pPr>
        <w:spacing w:after="0"/>
        <w:jc w:val="center"/>
      </w:pPr>
      <w:r>
        <w:rPr>
          <w:b/>
          <w:i w:val="0"/>
          <w:color w:val="1F2A44"/>
          <w:sz w:val="28"/>
        </w:rPr>
        <w:t>Term Sheet: Reverse Takeover (RTO) Advisory Engagement, Exos / FNEX</w:t>
      </w:r>
    </w:p>
    <w:p>
      <w:pPr>
        <w:spacing w:after="40"/>
        <w:jc w:val="center"/>
      </w:pPr>
      <w:r>
        <w:rPr>
          <w:b w:val="0"/>
          <w:i/>
          <w:sz w:val="19"/>
        </w:rPr>
        <w:t>For the Exos Board of Directors and the SSLC (Scorpius) Board  ·  Meetings of October 6, 2026</w:t>
      </w:r>
    </w:p>
    <w:p>
      <w:pPr>
        <w:spacing w:after="80"/>
      </w:pPr>
      <w:r>
        <w:rPr>
          <w:b w:val="0"/>
          <w:i/>
          <w:sz w:val="16"/>
        </w:rPr>
        <w:t>Sources: FNEX 9/29 markup of the Advisory Agreement; Exos letters of 10/3 and 10/4; the John Quinn / Michael Sheldon call of 10/5; Exos markup of 10/5 (tracked changes); Exos v3 model (10/3). "Pending" items carry the Mission Control decision IDs (John / Michael). Items marked [TBC] are unconfirmed.</w:t>
      </w:r>
    </w:p>
    <w:p>
      <w:pPr>
        <w:keepNext/>
        <w:spacing w:after="40" w:before="120"/>
      </w:pPr>
      <w:r>
        <w:rPr>
          <w:b/>
          <w:i w:val="0"/>
          <w:color w:val="1F2A44"/>
          <w:sz w:val="22"/>
        </w:rPr>
        <w:t>1. Parties and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488"/>
      </w:tblGrid>
      <w:tr>
        <w:tc>
          <w:tcPr>
            <w:tcW w:type="dxa" w:w="2304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488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Term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Company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Exos Aerospace Systems &amp; Technologies, Inc. (Texas), Greenville, TX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Advisor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FNEX Capital, LLC (Indiana), FINRA-registered broker-dealer. Registered representative: Raquel Sheldon Bruce [legal name TBC]. Michael Sheldon (salaried advisor) and Graham Bruce (Ainigma Capital) lead the work.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Transaction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Reverse takeover / reverse triangular merger of Exos into a Nasdaq-listed shell (the "Target"). Target not yet named [TBC]; naming it before the definitive agreement is pending (D-7281923 / D-7281924).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Merger Enterprise Value (MEV)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~$350M: shares issued to Exos holders x the merger price. FNEX's model uses $2.00 (175M shares); at $3.00 it would be ~116.7M shares for the same $350M. Michael on the call: the per-share price "is not going to value your business"; it is share-count math.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PIPE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~$15M convertible note before or at Closing, at least $10M net to Exos; converts to common stock at the merger price (no standing discount); any warrants or incentives are limited by the value floor in "PIPE pricing mechanics" (D-7281938). Later capital through an ATM or S-3 follow-on (Michael). Terms of the note are pending (D-7281913 / D-7281914).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Exclusive for the Transaction; flat 6-month term, no auto-renewal; Texas law.</w:t>
            </w:r>
          </w:p>
        </w:tc>
      </w:tr>
    </w:tbl>
    <w:p>
      <w:pPr>
        <w:keepNext/>
        <w:spacing w:after="40" w:before="120"/>
      </w:pPr>
      <w:r>
        <w:rPr>
          <w:b/>
          <w:i w:val="0"/>
          <w:color w:val="1F2A44"/>
          <w:sz w:val="22"/>
        </w:rPr>
        <w:t>2. Fees and costs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184"/>
        <w:gridCol w:w="2304"/>
      </w:tblGrid>
      <w:tr>
        <w:tc>
          <w:tcPr>
            <w:tcW w:type="dxa" w:w="2304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184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Basis</w:t>
            </w:r>
          </w:p>
        </w:tc>
        <w:tc>
          <w:tcPr>
            <w:tcW w:type="dxa" w:w="2304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At $350M MEV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Cash fee, first half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0.5% of MEV, at Closing, from initial funds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$1,750,000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Cash fee, second half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0.5% of MEV, only if FNEX-placed financings after Closing reach $40M within 12 months (excl. the PIPE and capital Exos raises itself) [definition TBC]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$1,750,000 (contingent)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Stock fee ("Awarded Shares")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2% of MEV in Target shares at the merger price, no discount (accepted in FNEX's 9/29 markup)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$7,000,000 = 3.5M shares at $2.00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Placement fee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None on the PIPE or any later placement (agreed 10/5)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$0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Third-party placement / ATM costs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Paid by Exos, pre-approved by Exos; FNEX earns nothing on them (Michael est. ~3%)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~$450,000 on $15M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FNEX expenses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Travel only, pre-approved, capped, paid at Closing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≤ $75,000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Retainer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None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$0</w:t>
            </w:r>
          </w:p>
        </w:tc>
      </w:tr>
    </w:tbl>
    <w:p>
      <w:pPr>
        <w:spacing w:before="40"/>
      </w:pPr>
      <w:r>
        <w:rPr>
          <w:b w:val="0"/>
          <w:i/>
          <w:sz w:val="17"/>
        </w:rPr>
        <w:t>Maximum FNEX compensation on the RTO is 3% of MEV (1% cash + 2% stock), about $10.5M at $350M, of which only $1.75M is cash due at Closing.</w:t>
      </w:r>
    </w:p>
    <w:p>
      <w:pPr>
        <w:keepNext/>
        <w:spacing w:after="40" w:before="120"/>
      </w:pPr>
      <w:r>
        <w:rPr>
          <w:b/>
          <w:i w:val="0"/>
          <w:color w:val="1F2A44"/>
          <w:sz w:val="22"/>
        </w:rPr>
        <w:t>3. Term status: Agreed or Pending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400"/>
        <w:gridCol w:w="2448"/>
      </w:tblGrid>
      <w:tr>
        <w:tc>
          <w:tcPr>
            <w:tcW w:type="dxa" w:w="1944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5400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Position in the Exos markup</w:t>
            </w:r>
          </w:p>
        </w:tc>
        <w:tc>
          <w:tcPr>
            <w:tcW w:type="dxa" w:w="2448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Fee base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MEV only; double count removed (Michael: "just a mistake, I'll fix that")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(D-7281936 / D-7281937)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Placement fee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No FNEX fee on the PIPE or later placements; third-party costs (~3%) paid by Exos only if pre-approved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(D-7281936 / D-7281937)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Expenses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Travel only, pre-approved, cap $75,000, payable at Closing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(D-7281936 / D-7281937)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Indemnity / assigns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Indemnity capped (cap amount [TBC]; Exos proposes cash fees paid); "or its assigns" removed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(D-7281936 / D-7281937)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Fee recipient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Fees paid only to the registered rep (Raquel Sheldon Bruce); Michael is salaried and receives no fee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(D-7281936 / D-7281937)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Term, review, tail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Flat 6 months, no auto-renewal; renewal/retention review at month 3; 12-month tail on parties FNEX introduced (investors, strategic partners, acquirers); shared intent that FNEX stays involved ~2 years after Closing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call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Milestones (Schedule A)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(a) ~$15M PIPE, ≥$10M net; (b) merger into the listed shell; (c) strategic partner/JV where possible; (d) supportable, growing valuation. PIPE not gated on (c)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call; PIPE timing also on D-7281917 / D-7281918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PIPE floor (principle)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No PIPE terms that undercut what current Exos investors paid (Michael: "I'll make sure that language is in there")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in principle 10/5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Stock fee at merger price; 0.5/0.5 cash split; $15M minimum raise; Texas law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As in FNEX's 9/29 markup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Accepted (FNEX 9/29)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Fee-share lock-up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Split 2%: 1% saleable after Closing under a leak-out (≤[10]% of daily volume, not below merger price); 1% vests over 18 months of continued engagement; early release at ≥2x merger price for 30 of 60 days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D-7281925 / D-7281926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PIPE pricing mechanics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Converts at the merger price. Warrants or other incentives allowed only up to the point where the total effective price still implies a company value at or above what current Exos investors paid (last round $14.00/share ≈ $173M, to confirm with Eqvista). At $350M MEV that is a maximum total effective discount of about 50% ($173M ÷ $350M = 49.4% of the merger price; at $2.00/share, all-in effective price ≥ ~$0.99). The floor is a company value, so the permitted discount shrinks if MEV is lower.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John direction 10/5 (D-7281938); pending Michael (D-7281939)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Breakup fee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Accrues $60K/month only while FNEX meets Schedule A; if Exos walks for a competing deal, greater of accrued or 0.5% of that deal [half cash/half stock], capped at the RTO fee; none on non-performance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D-7281940 / D-7281941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Strategic transactions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Change of control with an FNEX-introduced party = RTO fee formula, in place of (never in addition to) the RTO fee; JV/license/partnership: no fee. Strategic equity investor FNEX first introduces in writing during the Term (12-month named-investor tail): 2% cash if FNEX runs it to close, 1% if introduction only, capped at $400K per investor; paid to FNEX as broker-dealer, not an individual; no warrants or stock; no stacking with a bank/placement fee; inside the overall fee cap (total fees ≤ RTO Fees); existing Exos relationships excluded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John approved 10/5 (D-7281942); pending Michael (D-7281943); Counsel review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PIPE note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Escrow to Closing; converts at Closing at the merger price, not reset; never repayable in cash; unsecured; Outside Date 6 months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D-7281913 / D-7281914 (Outside Date: D-7281915 / D-7281916)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$10M net at Closing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Closing condition only Exos can waive; cash fee deferred first if short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D-7281917 / D-7281918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Fees only at Closing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No fee, stock or expenses unless the merger closes; not at signing or PIPE funding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D-7281919 / D-7281920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Listing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Shell named before the definitive agreement; Nasdaq approval a Closing condition; merger price ≥ $[3.00] unless Exos agrees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D-7281923 / D-7281924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7% incentive block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Delete the "New Post-Merger Incentive Shares" block unless FNEX explains it (Michael did not recognize it on the call)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D-7281927 / D-7281928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Key person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Michael Sheldon and Graham Bruce; Exos may terminate with no breakup fee if either leaves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D-7281931 / D-7281932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$40M trigger definition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FNEX-placed post-Closing financings ≥$40M within 12 months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  <w:t>[TBC] not discussed 10/5; no card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Early-float protections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Lock-ups for PIPE and shell insiders, shell diligence, no paid promotion or shorting, Rule 506(d) certification, clawback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  <w:t>[TBC] Exos 10/3 letter §8; no card</w:t>
            </w:r>
          </w:p>
        </w:tc>
      </w:tr>
    </w:tbl>
    <w:p>
      <w:pPr>
        <w:keepNext/>
        <w:spacing w:after="40" w:before="120"/>
      </w:pPr>
      <w:r>
        <w:rPr>
          <w:b/>
          <w:i w:val="0"/>
          <w:color w:val="1F2A44"/>
          <w:sz w:val="22"/>
        </w:rPr>
        <w:t>4. Economics at a $15M PIPE (estimate)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4608"/>
        <w:gridCol w:w="2015"/>
      </w:tblGrid>
      <w:tr>
        <w:tc>
          <w:tcPr>
            <w:tcW w:type="dxa" w:w="3168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608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Basis</w:t>
            </w:r>
          </w:p>
        </w:tc>
        <w:tc>
          <w:tcPr>
            <w:tcW w:type="dxa" w:w="2016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PIPE gross proceeds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Convertible note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$15,000,000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Less: FNEX cash fee due at Closing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0.5% x $350M MEV (first half of the 1% cash fee)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($1,750,000)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Less: third-party placement / ATM cost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~3% x $15M (Michael's estimate; no FNEX fee)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($450,000)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Less: FNEX travel expenses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Cap, paid at Closing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($75,000)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Less: other transaction costs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Legal, audit, listing: v3 model, Additional Assumptions B28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($1,000,000)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b/>
                <w:sz w:val="17"/>
              </w:rPr>
              <w:t>Estimated net cash to Exos at Closing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b/>
                <w:sz w:val="17"/>
              </w:rPr>
              <w:t>15.000 − 1.750 − 0.450 − 0.075 − 1.000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b/>
                <w:sz w:val="17"/>
              </w:rPr>
              <w:t>≈ $11,725,000</w:t>
            </w:r>
          </w:p>
        </w:tc>
      </w:tr>
    </w:tbl>
    <w:p>
      <w:pPr>
        <w:spacing w:before="40"/>
      </w:pPr>
      <w:r>
        <w:rPr>
          <w:b w:val="0"/>
          <w:i/>
          <w:sz w:val="16"/>
        </w:rPr>
        <w:t>Estimate only; not a commitment. Excludes the contingent second 0.5% cash fee ($1.75M, payable only if the $40M trigger is met, from later financings, not the PIPE) and the 2% stock fee (non-cash; 3.5M shares at $2.00). The note converts to stock and is not repaid in cash (pending D-7281913). Sensitivity: net falls to $10M at a PIPE of about $13.2M [(10 + 1.75 + 0.075 + 1.0) ÷ 0.97]; with the pending deferral of the cash fee when short (D-7281917), the break-even PIPE is about $11.4M. At $12M the net is about $8.8M before any deferral. Michael's view on the call: net "well above 11 million."</w:t>
      </w:r>
    </w:p>
    <w:p>
      <w:pPr>
        <w:keepNext/>
        <w:spacing w:after="40" w:before="120"/>
      </w:pPr>
      <w:r>
        <w:rPr>
          <w:b/>
          <w:i w:val="0"/>
          <w:color w:val="1F2A44"/>
          <w:sz w:val="22"/>
        </w:rPr>
        <w:t>5. Exos protections in the markup</w:t>
      </w:r>
    </w:p>
    <w:p>
      <w:pPr>
        <w:pStyle w:val="ListBullet"/>
        <w:spacing w:after="20"/>
        <w:ind w:left="360"/>
      </w:pPr>
      <w:r>
        <w:rPr>
          <w:b/>
        </w:rPr>
        <w:t xml:space="preserve">Fee discipline: </w:t>
      </w:r>
      <w:r>
        <w:rPr>
          <w:b w:val="0"/>
        </w:rPr>
        <w:t>fees on MEV only; no placement fee; expenses capped at $75K; no retainer; fees only to the registered rep [fees only at Closing: pending D-7281919].</w:t>
      </w:r>
    </w:p>
    <w:p>
      <w:pPr>
        <w:pStyle w:val="ListBullet"/>
        <w:spacing w:after="20"/>
        <w:ind w:left="360"/>
      </w:pPr>
      <w:r>
        <w:rPr>
          <w:b/>
        </w:rPr>
        <w:t xml:space="preserve">Capital certainty: </w:t>
      </w:r>
      <w:r>
        <w:rPr>
          <w:b w:val="0"/>
        </w:rPr>
        <w:t>[$10M Net Closing Cash condition, waivable only by Exos]; [PIPE held in escrow, never repayable in cash, converts at the merger price] (pending D-7281917, D-7281913).</w:t>
      </w:r>
    </w:p>
    <w:p>
      <w:pPr>
        <w:pStyle w:val="ListBullet"/>
        <w:spacing w:after="20"/>
        <w:ind w:left="360"/>
      </w:pPr>
      <w:r>
        <w:rPr>
          <w:b/>
        </w:rPr>
        <w:t xml:space="preserve">Valuation protection: </w:t>
      </w:r>
      <w:r>
        <w:rPr>
          <w:b w:val="0"/>
        </w:rPr>
        <w:t>no PIPE terms below what current investors paid (agreed in principle); PIPE converts at the merger price; warrants/incentives only while the all-in price implies ≥ ~$173M company value ($14.00/share last round, to confirm with Eqvista), about a 50% maximum effective discount at $350M MEV (John 10/5, D-7281938); [merger price ≥ $[3.00]] (pending D-7281923).</w:t>
      </w:r>
    </w:p>
    <w:p>
      <w:pPr>
        <w:pStyle w:val="ListBullet"/>
        <w:spacing w:after="20"/>
        <w:ind w:left="360"/>
      </w:pPr>
      <w:r>
        <w:rPr>
          <w:b/>
        </w:rPr>
        <w:t xml:space="preserve">Listing quality: </w:t>
      </w:r>
      <w:r>
        <w:rPr>
          <w:b w:val="0"/>
        </w:rPr>
        <w:t>[shell named and listing standard confirmed before the definitive agreement; Nasdaq approval a Closing condition] (pending D-7281923); [early-float lock-ups, shell diligence, no paid promotion or shorting, 506(d) certification, clawback] [TBC].</w:t>
      </w:r>
    </w:p>
    <w:p>
      <w:pPr>
        <w:pStyle w:val="ListBullet"/>
        <w:spacing w:after="20"/>
        <w:ind w:left="360"/>
      </w:pPr>
      <w:r>
        <w:rPr>
          <w:b/>
        </w:rPr>
        <w:t xml:space="preserve">Long-term alignment: </w:t>
      </w:r>
      <w:r>
        <w:rPr>
          <w:b w:val="0"/>
        </w:rPr>
        <w:t>month-3 retention review and ~2-year post-Closing intent (agreed); [half the stock fee vests over 18 months of continued engagement] (pending D-7281925); [key persons Michael and Graham] (pending D-7281931).</w:t>
      </w:r>
    </w:p>
    <w:p>
      <w:pPr>
        <w:pStyle w:val="ListBullet"/>
        <w:spacing w:after="20"/>
        <w:ind w:left="360"/>
      </w:pPr>
      <w:r>
        <w:rPr>
          <w:b/>
        </w:rPr>
        <w:t xml:space="preserve">Walk-away protection: </w:t>
      </w:r>
      <w:r>
        <w:rPr>
          <w:b w:val="0"/>
        </w:rPr>
        <w:t>[breakup fee accrues only while FNEX performs; none on non-performance or execution problems; none on Exos's own raises] (pending D-7281940); [no double fee on a strategic sale] (John approved 10/5; pending Michael D-7281943); capped indemnity (agreed).</w:t>
      </w:r>
    </w:p>
    <w:p>
      <w:pPr>
        <w:keepNext/>
        <w:spacing w:after="40" w:before="120"/>
      </w:pPr>
      <w:r>
        <w:rPr>
          <w:b/>
          <w:i w:val="0"/>
          <w:color w:val="1F2A44"/>
          <w:sz w:val="22"/>
        </w:rPr>
        <w:t>6. Next steps</w:t>
      </w:r>
    </w:p>
    <w:p>
      <w:pPr>
        <w:pStyle w:val="ListBullet"/>
        <w:spacing w:after="20"/>
        <w:ind w:left="360"/>
      </w:pPr>
      <w:r>
        <w:rPr>
          <w:b w:val="0"/>
        </w:rPr>
        <w:t>10/5: Exos markup to Michael Sheldon (sent by John); Michael turns it around today.</w:t>
      </w:r>
    </w:p>
    <w:p>
      <w:pPr>
        <w:pStyle w:val="ListBullet"/>
        <w:spacing w:after="20"/>
        <w:ind w:left="360"/>
      </w:pPr>
      <w:r>
        <w:rPr>
          <w:b w:val="0"/>
        </w:rPr>
        <w:t>10/5–10/6: John and Michael answer the open decision cards in Mission Control (IDs above).</w:t>
      </w:r>
    </w:p>
    <w:p>
      <w:pPr>
        <w:pStyle w:val="ListBullet"/>
        <w:spacing w:after="20"/>
        <w:ind w:left="360"/>
      </w:pPr>
      <w:r>
        <w:rPr>
          <w:b w:val="0"/>
        </w:rPr>
        <w:t>10/6: Exos Board and SSLC (Scorpius) Board review this term sheet.</w:t>
      </w:r>
    </w:p>
    <w:p>
      <w:pPr>
        <w:pStyle w:val="ListBullet"/>
        <w:spacing w:after="20"/>
        <w:ind w:left="360"/>
      </w:pPr>
      <w:r>
        <w:rPr>
          <w:b w:val="0"/>
        </w:rPr>
        <w:t>Before the definitive agreement: FNEX names the shell and listing standard; FNEX explains or drops the 7% incentive block; Exos confirms the last-round price with Eqvista; PIPE note terms attached as Exhibit A; milestone dates set for Schedule A [TBC].</w:t>
      </w:r>
    </w:p>
    <w:p>
      <w:pPr>
        <w:pStyle w:val="ListBullet"/>
        <w:spacing w:after="20"/>
        <w:ind w:left="360"/>
      </w:pPr>
      <w:r>
        <w:rPr>
          <w:b w:val="0"/>
        </w:rPr>
        <w:t>Counsel reviews the agreement, including the 2% / 1% strategic-investment fee ($400K per-investor cap, inside the overall fee cap) and the indemnity cap, before signature.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584" w:right="1224" w:bottom="151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sz w:val="15"/>
      </w:rPr>
      <w:t>DRAFT — for board discussion; not binding; subject to Counsel. Confidential.</w:t>
    </w:r>
  </w:p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