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val="0"/>
          <w:i/>
          <w:color w:val="800000"/>
          <w:sz w:val="16"/>
        </w:rPr>
        <w:t>INTERNAL — DRAFT — NEGOTIATING TERMS — not for send until Jon approves — v2 2026-10-07</w:t>
      </w:r>
    </w:p>
    <w:p>
      <w:pPr>
        <w:spacing w:after="40"/>
      </w:pPr>
      <w:r>
        <w:rPr>
          <w:b/>
          <w:i w:val="0"/>
          <w:color w:val="1F3A68"/>
          <w:sz w:val="28"/>
        </w:rPr>
        <w:t>SSLC Acquisition Rescue — Option B: §3 Exclusivity + Earn-Out</w:t>
      </w:r>
    </w:p>
    <w:p>
      <w:pPr>
        <w:spacing w:after="120"/>
      </w:pPr>
      <w:r>
        <w:rPr>
          <w:b w:val="0"/>
          <w:i/>
          <w:sz w:val="20"/>
        </w:rPr>
        <w:t>Prepared by Exo for Jon Quinn (CEO) | MC Task #3544 | v2 — Decision: proceed with Option A+B</w:t>
      </w:r>
    </w:p>
    <w:p>
      <w:pPr>
        <w:keepNext/>
        <w:spacing w:after="60"/>
      </w:pPr>
      <w:r>
        <w:rPr>
          <w:b/>
          <w:i w:val="0"/>
          <w:color w:val="1F3A68"/>
          <w:sz w:val="24"/>
        </w:rPr>
        <w:t>1. Jon's Decision (10/7/2026)</w:t>
      </w:r>
    </w:p>
    <w:p>
      <w:pPr>
        <w:spacing w:after="80"/>
      </w:pPr>
      <w:r>
        <w:rPr>
          <w:b w:val="0"/>
          <w:i w:val="0"/>
        </w:rPr>
        <w:t>Jon has decided to proceed with Option B: invoke §3 exclusivity of the May 13, 2025 Asset Acquisition Agreement at the 2025 board-approved price (.36M commitment), PLUS an earn-out tied to IM tank deliveries and/or Exos stock after listing. SSLC's debts are paid at face value at close. Option C (working-capital bridge) held in reserve for the follow-up if needed. The commission-only path (Option D) continues in parallel regardless.</w:t>
      </w:r>
    </w:p>
    <w:p>
      <w:pPr>
        <w:keepNext/>
        <w:spacing w:after="60"/>
      </w:pPr>
      <w:r>
        <w:rPr>
          <w:b/>
          <w:i w:val="0"/>
          <w:color w:val="1F3A68"/>
          <w:sz w:val="24"/>
        </w:rPr>
        <w:t>2. Financial Summary</w:t>
      </w:r>
    </w:p>
    <w:p>
      <w:pPr>
        <w:spacing w:after="80"/>
      </w:pPr>
      <w:r>
        <w:rPr>
          <w:b w:val="0"/>
          <w:i w:val="0"/>
        </w:rPr>
        <w:t>1-Year (FY27): SSLC revenue .5M | Consolidated net revenue .6M | SSLC EBITDA +.24M | Exos EBITDA -.0M (BLK3 phase) | Cash at close .01M (from Series A M first close).</w:t>
      </w:r>
    </w:p>
    <w:p>
      <w:pPr>
        <w:spacing w:after="80"/>
      </w:pPr>
      <w:r>
        <w:rPr>
          <w:b w:val="0"/>
          <w:i w:val="0"/>
        </w:rPr>
        <w:t>5-Year (FY31): SSLC revenue .5M | Consolidated net revenue .6M | Consolidated EBITDA +.0M.</w:t>
      </w:r>
    </w:p>
    <w:p>
      <w:pPr>
        <w:spacing w:after="80"/>
      </w:pPr>
      <w:r>
        <w:rPr>
          <w:b w:val="0"/>
          <w:i w:val="0"/>
        </w:rPr>
        <w:t>Total consideration: Low .91M | Base .86M | High .86M (base price + TBV SSLC debt + earn-out).</w:t>
      </w:r>
    </w:p>
    <w:p>
      <w:pPr>
        <w:spacing w:after="80"/>
      </w:pPr>
      <w:r>
        <w:rPr>
          <w:b w:val="0"/>
          <w:i w:val="0"/>
        </w:rPr>
        <w:t>Full model: drafts/EXOS_SSLC_OptionB_Acquisition_Model_2026-10-07.xlsx</w:t>
      </w:r>
    </w:p>
    <w:p>
      <w:pPr>
        <w:keepNext/>
        <w:spacing w:after="60"/>
      </w:pPr>
      <w:r>
        <w:rPr>
          <w:b/>
          <w:i w:val="0"/>
          <w:color w:val="1F3A68"/>
          <w:sz w:val="24"/>
        </w:rPr>
        <w:t>3. Earn-Out Terms (as modeled)</w:t>
      </w:r>
    </w:p>
    <w:p>
      <w:pPr>
        <w:spacing w:after="40"/>
        <w:ind w:left="288"/>
      </w:pPr>
      <w:r>
        <w:t xml:space="preserve">•  </w:t>
      </w:r>
      <w:r>
        <w:rPr>
          <w:b/>
        </w:rPr>
        <w:t>Option i — IM tank revenue:</w:t>
      </w:r>
      <w:r>
        <w:t xml:space="preserve"> 5% of SSLC IM hardware revenue, K annual cap, 3-year term. Low/Base/High: K / K / K.</w:t>
      </w:r>
    </w:p>
    <w:p>
      <w:pPr>
        <w:spacing w:after="40"/>
        <w:ind w:left="288"/>
      </w:pPr>
      <w:r>
        <w:t xml:space="preserve">•  </w:t>
      </w:r>
      <w:r>
        <w:rPr>
          <w:b/>
        </w:rPr>
        <w:t>Option ii — Exos stock:</w:t>
      </w:r>
      <w:r>
        <w:t xml:space="preserve"> 0.5% of fully diluted shares at RTO listing, 12-month lockup. Low/Base/High: K / .25M / .1M (at M / M / M listing).</w:t>
      </w:r>
    </w:p>
    <w:p>
      <w:pPr>
        <w:spacing w:after="40"/>
        <w:ind w:left="288"/>
      </w:pPr>
      <w:r>
        <w:t xml:space="preserve">•  </w:t>
      </w:r>
      <w:r>
        <w:rPr>
          <w:b/>
        </w:rPr>
        <w:t>Combined (recommended):</w:t>
      </w:r>
      <w:r>
        <w:t xml:space="preserve"> Both i + ii. Base combined: .0M earn-out over 3-4 years.</w:t>
      </w:r>
    </w:p>
    <w:p>
      <w:pPr>
        <w:spacing w:after="40"/>
        <w:ind w:left="288"/>
      </w:pPr>
      <w:r>
        <w:t xml:space="preserve">•  </w:t>
      </w:r>
      <w:r>
        <w:rPr>
          <w:b/>
        </w:rPr>
        <w:t>Dilution:</w:t>
      </w:r>
      <w:r>
        <w:t xml:space="preserve"> ~0.5% of FD shares from stock earn-out — non-material at Series A scale.</w:t>
      </w:r>
    </w:p>
    <w:p>
      <w:pPr>
        <w:keepNext/>
        <w:spacing w:after="60"/>
      </w:pPr>
      <w:r>
        <w:rPr>
          <w:b/>
          <w:i w:val="0"/>
          <w:color w:val="1F3A68"/>
          <w:sz w:val="24"/>
        </w:rPr>
        <w:t>4. Guardrails (unchanged from v1)</w:t>
      </w:r>
    </w:p>
    <w:p>
      <w:pPr>
        <w:spacing w:after="40"/>
        <w:ind w:left="288"/>
      </w:pPr>
      <w:r>
        <w:t xml:space="preserve">•  </w:t>
      </w:r>
      <w:r>
        <w:rPr>
          <w:b/>
        </w:rPr>
        <w:t>Jon recuses from SSLC vote;</w:t>
      </w:r>
      <w:r>
        <w:t xml:space="preserve"> sends §3 notice as Exos CEO only.</w:t>
      </w:r>
    </w:p>
    <w:p>
      <w:pPr>
        <w:spacing w:after="40"/>
        <w:ind w:left="288"/>
      </w:pPr>
      <w:r>
        <w:t xml:space="preserve">•  </w:t>
      </w:r>
      <w:r>
        <w:rPr>
          <w:b/>
        </w:rPr>
        <w:t>No distress/bankruptcy language</w:t>
      </w:r>
      <w:r>
        <w:t xml:space="preserve"> anywhere in the message.</w:t>
      </w:r>
    </w:p>
    <w:p>
      <w:pPr>
        <w:spacing w:after="40"/>
        <w:ind w:left="288"/>
      </w:pPr>
      <w:r>
        <w:t xml:space="preserve">•  </w:t>
      </w:r>
      <w:r>
        <w:rPr>
          <w:b/>
        </w:rPr>
        <w:t>Eqvista fairness opinion in progress</w:t>
      </w:r>
      <w:r>
        <w:t xml:space="preserve"> (engaged 2026-08-14).</w:t>
      </w:r>
    </w:p>
    <w:p>
      <w:pPr>
        <w:spacing w:after="40"/>
        <w:ind w:left="288"/>
      </w:pPr>
      <w:r>
        <w:t xml:space="preserve">•  </w:t>
      </w:r>
      <w:r>
        <w:rPr>
          <w:b/>
        </w:rPr>
        <w:t>Named Exos officer to sign while Jon is in Japan</w:t>
      </w:r>
      <w:r>
        <w:t xml:space="preserve"> (Jon leaves 10/8 for 3 weeks).</w:t>
      </w:r>
    </w:p>
    <w:p>
      <w:pPr>
        <w:keepNext/>
        <w:spacing w:after="60"/>
      </w:pPr>
      <w:r>
        <w:rPr>
          <w:b/>
          <w:i w:val="0"/>
          <w:color w:val="1F3A68"/>
          <w:sz w:val="24"/>
        </w:rPr>
        <w:t>5. Updated Draft Message to Jim Wertz, CC: SSLC Board</w:t>
      </w:r>
    </w:p>
    <w:p>
      <w:pPr>
        <w:spacing w:after="80"/>
      </w:pPr>
      <w:r>
        <w:rPr>
          <w:b w:val="0"/>
          <w:i w:val="0"/>
        </w:rPr>
        <w:t>Subject: Exos — Exclusivity under our May 2025 Asset Acquisition Agreement</w:t>
      </w:r>
    </w:p>
    <w:p>
      <w:pPr>
        <w:spacing w:after="80"/>
      </w:pPr>
      <w:r>
        <w:rPr>
          <w:b w:val="0"/>
          <w:i w:val="0"/>
        </w:rPr>
        <w:t>Jim, Markus, Bob,</w:t>
      </w:r>
    </w:p>
    <w:p>
      <w:pPr>
        <w:spacing w:after="80"/>
      </w:pPr>
      <w:r>
        <w:rPr>
          <w:b w:val="0"/>
          <w:i w:val="0"/>
        </w:rPr>
        <w:t>Thank you for the time last week. I understand the board's decision on the ROFR and I'm not asking you to revisit it.</w:t>
      </w:r>
    </w:p>
    <w:p>
      <w:pPr>
        <w:spacing w:after="80"/>
      </w:pPr>
      <w:r>
        <w:rPr>
          <w:b w:val="0"/>
          <w:i w:val="0"/>
        </w:rPr>
        <w:t>I'm writing about our separate Asset Acquisition Agreement, which the SSLC board approved on May 2, 2025 and we both signed on May 13, 2025. Section 3 provides that SSLC assigns Exos exclusivity once Exos has entered into an agreement with a financing source capable of funding the transaction — with 90 days to fund and close, and extensions not unreasonably withheld while we are working in good faith.</w:t>
      </w:r>
    </w:p>
    <w:p>
      <w:pPr>
        <w:spacing w:after="80"/>
      </w:pPr>
      <w:r>
        <w:rPr>
          <w:b w:val="0"/>
          <w:i w:val="0"/>
        </w:rPr>
        <w:t>Exos has now entered into an exclusive financing agreement with Ainigma Capital / FNEX Capital for our go-public transaction and PIPE. The acquisition of SSLC's assets is an approved use of proceeds. [Attach: executed FNEX agreement summary + investor use-of-proceeds letter confirming SSLC asset purchase as approved use.]</w:t>
      </w:r>
    </w:p>
    <w:p>
      <w:pPr>
        <w:spacing w:after="80"/>
      </w:pPr>
      <w:r>
        <w:rPr>
          <w:b w:val="0"/>
          <w:i w:val="0"/>
        </w:rPr>
        <w:t>Under Section 3, I'm formally asking SSLC to confirm Exos's 90-day exclusivity, starting on the date of your confirmation.</w:t>
      </w:r>
    </w:p>
    <w:p>
      <w:pPr>
        <w:spacing w:after="80"/>
      </w:pPr>
      <w:r>
        <w:rPr>
          <w:b w:val="0"/>
          <w:i w:val="0"/>
        </w:rPr>
        <w:t>On value: I heard the board's view that Scorpius has more value today than in 2021, and I agree — the IM Nebula OTV contract confirms that. We will honor the cash terms in the 2025 Agreement (.51M cash at close), and we're open to adding upside consideration tied to SSLC's own growth:</w:t>
      </w:r>
    </w:p>
    <w:p>
      <w:pPr>
        <w:spacing w:after="40"/>
        <w:ind w:left="288"/>
      </w:pPr>
      <w:r>
        <w:t xml:space="preserve">•  </w:t>
      </w:r>
      <w:r>
        <w:rPr>
          <w:b/>
        </w:rPr>
        <w:t>Earn-out i:</w:t>
      </w:r>
      <w:r>
        <w:t xml:space="preserve"> 5% of SSLC IM hardware revenue annually, capped at K per year, for three years. As SSLC's IM revenue grows, sellers share in it.</w:t>
      </w:r>
    </w:p>
    <w:p>
      <w:pPr>
        <w:spacing w:after="40"/>
        <w:ind w:left="288"/>
      </w:pPr>
      <w:r>
        <w:t xml:space="preserve">•  </w:t>
      </w:r>
      <w:r>
        <w:rPr>
          <w:b/>
        </w:rPr>
        <w:t>Earn-out ii:</w:t>
      </w:r>
      <w:r>
        <w:t xml:space="preserve"> Exos common stock equivalent to 0.5% of fully diluted shares at the time of our public listing, with a 12-month lockup. If the RTO succeeds at the terms being discussed, this is meaningful upside for SSLC's founders.</w:t>
      </w:r>
    </w:p>
    <w:p>
      <w:pPr>
        <w:spacing w:after="40"/>
        <w:ind w:left="288"/>
      </w:pPr>
      <w:r>
        <w:t xml:space="preserve">•  </w:t>
      </w:r>
      <w:r>
        <w:rPr>
          <w:b/>
        </w:rPr>
        <w:t>Combined:</w:t>
      </w:r>
      <w:r>
        <w:t xml:space="preserve"> We propose both. The two tranches vest on different schedules and each is capped or locked — reasonable for both sides.</w:t>
      </w:r>
    </w:p>
    <w:p>
      <w:pPr>
        <w:spacing w:after="80"/>
      </w:pPr>
      <w:r>
        <w:rPr>
          <w:b w:val="0"/>
          <w:i w:val="0"/>
        </w:rPr>
        <w:t>SSLC's debts, including the Microcosm and Wertz notes, would be paid in full at face value at closing.</w:t>
      </w:r>
    </w:p>
    <w:p>
      <w:pPr>
        <w:spacing w:after="80"/>
      </w:pPr>
      <w:r>
        <w:rPr>
          <w:b w:val="0"/>
          <w:i w:val="0"/>
        </w:rPr>
        <w:t>I sit on both boards. I'm recusing from SSLC's deliberations on this and sending this as Exos CEO only. I'm in Japan for the next three weeks beginning October 8; [Exos officer name] will sign for Exos while I'm away. I remain reachable by phone for anything that needs my direct judgment.</w:t>
      </w:r>
    </w:p>
    <w:p>
      <w:pPr>
        <w:spacing w:after="80"/>
      </w:pPr>
      <w:r>
        <w:rPr>
          <w:b w:val="0"/>
          <w:i w:val="0"/>
        </w:rPr>
        <w:t>Could the board confirm exclusivity by [reply-by date]? I'd like to move quickly while financing is live.</w:t>
      </w:r>
    </w:p>
    <w:p>
      <w:pPr>
        <w:spacing w:after="80"/>
      </w:pPr>
      <w:r>
        <w:rPr>
          <w:b w:val="0"/>
          <w:i w:val="0"/>
        </w:rPr>
        <w:t>Best regards,</w:t>
      </w:r>
    </w:p>
    <w:p>
      <w:pPr>
        <w:spacing w:after="80"/>
      </w:pPr>
      <w:r>
        <w:rPr>
          <w:b w:val="0"/>
          <w:i w:val="0"/>
        </w:rPr>
        <w:t>John Quinn</w:t>
      </w:r>
    </w:p>
    <w:p>
      <w:pPr>
        <w:spacing w:after="80"/>
      </w:pPr>
      <w:r>
        <w:rPr>
          <w:b w:val="0"/>
          <w:i w:val="0"/>
        </w:rPr>
        <w:t>Cofounder &amp; CEO, Exos Aerospace Systems &amp; Technologies, Inc.</w:t>
      </w:r>
    </w:p>
    <w:p>
      <w:pPr>
        <w:spacing w:after="80"/>
      </w:pP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2448" w:right="576" w:bottom="2160" w:left="144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