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SEC-CUI-STOR</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09/05/2026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PENDING APPROVAL</w:t>
      </w:r>
    </w:p>
    <w:p>
      <w:pPr>
        <w:spacing w:before="120" w:after="40"/>
        <w:jc w:val="center"/>
        <w:pBdr>
          <w:bottom w:val="single" w:sz="8" w:space="3" w:color="0b2a4a"/>
        </w:pBdr>
      </w:pPr>
      <w:r>
        <w:rPr>
          <w:rFonts w:ascii="Calibri" w:hAnsi="Calibri"/>
          <w:b/>
          <w:i w:val="0"/>
          <w:color w:val="0B2A4A"/>
          <w:sz w:val="34"/>
        </w:rPr>
        <w:t>CUI / ITAR / EAR Document Handling and Storage (SharePoint GCC High)</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define how Exos stores and controls CUI, ITAR technical data, and EAR-controlled documents in the authorized SharePoint Online (GCC High) environment, and how Mission Control references those documents WITHOUT ever storing CUI, so the ERP and MC remain CUI/PII-free while controlled documents stay in an authorized enclave.</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Controlled documents (CUI, ITAR technical data, EAR-controlled) are stored ONLY in Exos's authorized SharePoint Online (GCC High) environment with least-privilege access. Mission Control never holds CUI: for any task that involves a controlled document, the task owner completes this manual procedure and MC records only (a) a non-sensitive reference to the document, (b) an approved-access SharePoint link, and (c) confirmation that this procedure was completed. No CUI/ITAR/EAR file or content is ever placed in MC task text, notes, attachments, the ERP database, ExoMac local storage, standard email, or chat. When the Azure Gov / GCC-High enclave (Decision D-002) is later built it will automate this; until then this confirmed-completed manual procedure is the control.</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1. Scope and identification</w:t>
      </w:r>
    </w:p>
    <w:p>
      <w:pPr>
        <w:spacing w:after="60"/>
        <w:ind w:left="360"/>
      </w:pPr>
      <w:r>
        <w:rPr>
          <w:rFonts w:ascii="Calibri" w:hAnsi="Calibri"/>
          <w:b w:val="0"/>
          <w:i w:val="0"/>
          <w:color w:val="0B2A4A"/>
          <w:sz w:val="24"/>
        </w:rPr>
        <w:t xml:space="preserve">☐  </w:t>
      </w:r>
      <w:r>
        <w:rPr>
          <w:rFonts w:ascii="Calibri" w:hAnsi="Calibri"/>
          <w:b w:val="0"/>
          <w:i w:val="0"/>
          <w:color w:val="1C1C1C"/>
          <w:sz w:val="21"/>
        </w:rPr>
        <w:t>Applies to every document that is CUI, ITAR-controlled technical data, or EAR-controlled — including payload technical data, drawings, ICDs, source, and government-marked material.</w:t>
      </w:r>
    </w:p>
    <w:p>
      <w:pPr>
        <w:spacing w:after="60"/>
        <w:ind w:left="360"/>
      </w:pPr>
      <w:r>
        <w:rPr>
          <w:rFonts w:ascii="Calibri" w:hAnsi="Calibri"/>
          <w:b w:val="0"/>
          <w:i w:val="0"/>
          <w:color w:val="0B2A4A"/>
          <w:sz w:val="24"/>
        </w:rPr>
        <w:t xml:space="preserve">☐  </w:t>
      </w:r>
      <w:r>
        <w:rPr>
          <w:rFonts w:ascii="Calibri" w:hAnsi="Calibri"/>
          <w:b w:val="0"/>
          <w:i w:val="0"/>
          <w:color w:val="1C1C1C"/>
          <w:sz w:val="21"/>
        </w:rPr>
        <w:t>Do NOT self-designate CUI. Marking/designation is determined by the contract, the government customer, or Atomus/security authority. If unsure whether a document is controlled, treat it as controlled and confirm before proceeding.</w:t>
      </w:r>
    </w:p>
    <w:p>
      <w:pPr>
        <w:keepNext/>
        <w:spacing w:before="140" w:after="60"/>
      </w:pPr>
      <w:r>
        <w:rPr>
          <w:rFonts w:ascii="Calibri" w:hAnsi="Calibri"/>
          <w:b/>
          <w:i w:val="0"/>
          <w:color w:val="0B2A4A"/>
          <w:sz w:val="22"/>
        </w:rPr>
        <w:t>2. Authorized storage location</w:t>
      </w:r>
    </w:p>
    <w:p>
      <w:pPr>
        <w:spacing w:after="60"/>
        <w:ind w:left="360"/>
      </w:pPr>
      <w:r>
        <w:rPr>
          <w:rFonts w:ascii="Calibri" w:hAnsi="Calibri"/>
          <w:b w:val="0"/>
          <w:i w:val="0"/>
          <w:color w:val="0B2A4A"/>
          <w:sz w:val="24"/>
        </w:rPr>
        <w:t xml:space="preserve">☐  </w:t>
      </w:r>
      <w:r>
        <w:rPr>
          <w:rFonts w:ascii="Calibri" w:hAnsi="Calibri"/>
          <w:b w:val="0"/>
          <w:i w:val="0"/>
          <w:color w:val="1C1C1C"/>
          <w:sz w:val="21"/>
        </w:rPr>
        <w:t>Store controlled documents ONLY in the authorized SharePoint Online (GCC High) document library. GCC High is the authorized enclave for CUI/ITAR.</w:t>
      </w:r>
    </w:p>
    <w:p>
      <w:pPr>
        <w:spacing w:after="60"/>
        <w:ind w:left="360"/>
      </w:pPr>
      <w:r>
        <w:rPr>
          <w:rFonts w:ascii="Calibri" w:hAnsi="Calibri"/>
          <w:b w:val="0"/>
          <w:i w:val="0"/>
          <w:color w:val="0B2A4A"/>
          <w:sz w:val="24"/>
        </w:rPr>
        <w:t xml:space="preserve">☐  </w:t>
      </w:r>
      <w:r>
        <w:rPr>
          <w:rFonts w:ascii="Calibri" w:hAnsi="Calibri"/>
          <w:b w:val="0"/>
          <w:i w:val="0"/>
          <w:color w:val="1C1C1C"/>
          <w:sz w:val="21"/>
        </w:rPr>
        <w:t>NEVER store controlled documents on ExoMac, the Mission Control server or database, local/personal drives, any email account (personal, standard, or GCC High), Discord, or any non-authorized cloud.</w:t>
      </w:r>
    </w:p>
    <w:p>
      <w:pPr>
        <w:spacing w:after="60"/>
        <w:ind w:left="360"/>
      </w:pPr>
      <w:r>
        <w:rPr>
          <w:rFonts w:ascii="Calibri" w:hAnsi="Calibri"/>
          <w:b w:val="0"/>
          <w:i w:val="0"/>
          <w:color w:val="0B2A4A"/>
          <w:sz w:val="24"/>
        </w:rPr>
        <w:t xml:space="preserve">☐  </w:t>
      </w:r>
      <w:r>
        <w:rPr>
          <w:rFonts w:ascii="Calibri" w:hAnsi="Calibri"/>
          <w:b w:val="0"/>
          <w:i w:val="0"/>
          <w:color w:val="1C1C1C"/>
          <w:sz w:val="21"/>
        </w:rPr>
        <w:t>One controlled-document library with restricted membership; no public or org-wide links.</w:t>
      </w:r>
    </w:p>
    <w:p>
      <w:pPr>
        <w:keepNext/>
        <w:spacing w:before="140" w:after="60"/>
      </w:pPr>
      <w:r>
        <w:rPr>
          <w:rFonts w:ascii="Calibri" w:hAnsi="Calibri"/>
          <w:b/>
          <w:i w:val="0"/>
          <w:color w:val="0B2A4A"/>
          <w:sz w:val="22"/>
        </w:rPr>
        <w:t>3. Marking and labeling</w:t>
      </w:r>
    </w:p>
    <w:p>
      <w:pPr>
        <w:spacing w:after="60"/>
        <w:ind w:left="360"/>
      </w:pPr>
      <w:r>
        <w:rPr>
          <w:rFonts w:ascii="Calibri" w:hAnsi="Calibri"/>
          <w:b w:val="0"/>
          <w:i w:val="0"/>
          <w:color w:val="0B2A4A"/>
          <w:sz w:val="24"/>
        </w:rPr>
        <w:t xml:space="preserve">☐  </w:t>
      </w:r>
      <w:r>
        <w:rPr>
          <w:rFonts w:ascii="Calibri" w:hAnsi="Calibri"/>
          <w:b w:val="0"/>
          <w:i w:val="0"/>
          <w:color w:val="1C1C1C"/>
          <w:sz w:val="21"/>
        </w:rPr>
        <w:t>Apply the correct CUI banner/portion markings and the M365 GCC High sensitivity label before or upon upload.</w:t>
      </w:r>
    </w:p>
    <w:p>
      <w:pPr>
        <w:spacing w:after="60"/>
        <w:ind w:left="360"/>
      </w:pPr>
      <w:r>
        <w:rPr>
          <w:rFonts w:ascii="Calibri" w:hAnsi="Calibri"/>
          <w:b w:val="0"/>
          <w:i w:val="0"/>
          <w:color w:val="0B2A4A"/>
          <w:sz w:val="24"/>
        </w:rPr>
        <w:t xml:space="preserve">☐  </w:t>
      </w:r>
      <w:r>
        <w:rPr>
          <w:rFonts w:ascii="Calibri" w:hAnsi="Calibri"/>
          <w:b w:val="0"/>
          <w:i w:val="0"/>
          <w:color w:val="1C1C1C"/>
          <w:sz w:val="21"/>
        </w:rPr>
        <w:t>ITAR/EAR documents carry the appropriate export-control notice.</w:t>
      </w:r>
    </w:p>
    <w:p>
      <w:pPr>
        <w:spacing w:after="60"/>
        <w:ind w:left="360"/>
      </w:pPr>
      <w:r>
        <w:rPr>
          <w:rFonts w:ascii="Calibri" w:hAnsi="Calibri"/>
          <w:b w:val="0"/>
          <w:i w:val="0"/>
          <w:color w:val="0B2A4A"/>
          <w:sz w:val="24"/>
        </w:rPr>
        <w:t xml:space="preserve">☐  </w:t>
      </w:r>
      <w:r>
        <w:rPr>
          <w:rFonts w:ascii="Calibri" w:hAnsi="Calibri"/>
          <w:b w:val="0"/>
          <w:i w:val="0"/>
          <w:color w:val="1C1C1C"/>
          <w:sz w:val="21"/>
        </w:rPr>
        <w:t>Do not remove or downgrade markings without documented authority.</w:t>
      </w:r>
    </w:p>
    <w:p>
      <w:pPr>
        <w:keepNext/>
        <w:spacing w:before="140" w:after="60"/>
      </w:pPr>
      <w:r>
        <w:rPr>
          <w:rFonts w:ascii="Calibri" w:hAnsi="Calibri"/>
          <w:b/>
          <w:i w:val="0"/>
          <w:color w:val="0B2A4A"/>
          <w:sz w:val="22"/>
        </w:rPr>
        <w:t>4. Access control (least privilege + export control)</w:t>
      </w:r>
    </w:p>
    <w:p>
      <w:pPr>
        <w:spacing w:after="60"/>
        <w:ind w:left="360"/>
      </w:pPr>
      <w:r>
        <w:rPr>
          <w:rFonts w:ascii="Calibri" w:hAnsi="Calibri"/>
          <w:b w:val="0"/>
          <w:i w:val="0"/>
          <w:color w:val="0B2A4A"/>
          <w:sz w:val="24"/>
        </w:rPr>
        <w:t xml:space="preserve">☐  </w:t>
      </w:r>
      <w:r>
        <w:rPr>
          <w:rFonts w:ascii="Calibri" w:hAnsi="Calibri"/>
          <w:b w:val="0"/>
          <w:i w:val="0"/>
          <w:color w:val="1C1C1C"/>
          <w:sz w:val="21"/>
        </w:rPr>
        <w:t>Grant access only to individuals with a need to know who are cleared for the control type. For ITAR technical data, access is limited to U.S. persons unless a license/exemption applies.</w:t>
      </w:r>
    </w:p>
    <w:p>
      <w:pPr>
        <w:spacing w:after="60"/>
        <w:ind w:left="360"/>
      </w:pPr>
      <w:r>
        <w:rPr>
          <w:rFonts w:ascii="Calibri" w:hAnsi="Calibri"/>
          <w:b w:val="0"/>
          <w:i w:val="0"/>
          <w:color w:val="0B2A4A"/>
          <w:sz w:val="24"/>
        </w:rPr>
        <w:t xml:space="preserve">☐  </w:t>
      </w:r>
      <w:r>
        <w:rPr>
          <w:rFonts w:ascii="Calibri" w:hAnsi="Calibri"/>
          <w:b w:val="0"/>
          <w:i w:val="0"/>
          <w:color w:val="1C1C1C"/>
          <w:sz w:val="21"/>
        </w:rPr>
        <w:t>Maintain an approved-access list per document/library; review access periodically and on personnel change.</w:t>
      </w:r>
    </w:p>
    <w:p>
      <w:pPr>
        <w:spacing w:after="60"/>
        <w:ind w:left="360"/>
      </w:pPr>
      <w:r>
        <w:rPr>
          <w:rFonts w:ascii="Calibri" w:hAnsi="Calibri"/>
          <w:b w:val="0"/>
          <w:i w:val="0"/>
          <w:color w:val="0B2A4A"/>
          <w:sz w:val="24"/>
        </w:rPr>
        <w:t xml:space="preserve">☐  </w:t>
      </w:r>
      <w:r>
        <w:rPr>
          <w:rFonts w:ascii="Calibri" w:hAnsi="Calibri"/>
          <w:b w:val="0"/>
          <w:i w:val="0"/>
          <w:color w:val="1C1C1C"/>
          <w:sz w:val="21"/>
        </w:rPr>
        <w:t>Access is granted through SharePoint GCC High permissions only — never by copying the file out.</w:t>
      </w:r>
    </w:p>
    <w:p>
      <w:pPr>
        <w:keepNext/>
        <w:spacing w:before="140" w:after="60"/>
      </w:pPr>
      <w:r>
        <w:rPr>
          <w:rFonts w:ascii="Calibri" w:hAnsi="Calibri"/>
          <w:b/>
          <w:i w:val="0"/>
          <w:color w:val="0B2A4A"/>
          <w:sz w:val="22"/>
        </w:rPr>
        <w:t>5. Recording in Mission Control (reference + link only)</w:t>
      </w:r>
    </w:p>
    <w:p>
      <w:pPr>
        <w:spacing w:after="60"/>
        <w:ind w:left="360"/>
      </w:pPr>
      <w:r>
        <w:rPr>
          <w:rFonts w:ascii="Calibri" w:hAnsi="Calibri"/>
          <w:b w:val="0"/>
          <w:i w:val="0"/>
          <w:color w:val="0B2A4A"/>
          <w:sz w:val="24"/>
        </w:rPr>
        <w:t xml:space="preserve">☐  </w:t>
      </w:r>
      <w:r>
        <w:rPr>
          <w:rFonts w:ascii="Calibri" w:hAnsi="Calibri"/>
          <w:b w:val="0"/>
          <w:i w:val="0"/>
          <w:color w:val="1C1C1C"/>
          <w:sz w:val="21"/>
        </w:rPr>
        <w:t>In the MC task, record ONLY: a non-sensitive reference/title, the approved-access SharePoint (GCC High) link, and the access owner.</w:t>
      </w:r>
    </w:p>
    <w:p>
      <w:pPr>
        <w:spacing w:after="60"/>
        <w:ind w:left="360"/>
      </w:pPr>
      <w:r>
        <w:rPr>
          <w:rFonts w:ascii="Calibri" w:hAnsi="Calibri"/>
          <w:b w:val="0"/>
          <w:i w:val="0"/>
          <w:color w:val="0B2A4A"/>
          <w:sz w:val="24"/>
        </w:rPr>
        <w:t xml:space="preserve">☐  </w:t>
      </w:r>
      <w:r>
        <w:rPr>
          <w:rFonts w:ascii="Calibri" w:hAnsi="Calibri"/>
          <w:b w:val="0"/>
          <w:i w:val="0"/>
          <w:color w:val="1C1C1C"/>
          <w:sz w:val="21"/>
        </w:rPr>
        <w:t>Do NOT paste CUI/ITAR/EAR content into task titles, notes, descriptions, or attach the controlled file to MC.</w:t>
      </w:r>
    </w:p>
    <w:p>
      <w:pPr>
        <w:spacing w:after="60"/>
        <w:ind w:left="360"/>
      </w:pPr>
      <w:r>
        <w:rPr>
          <w:rFonts w:ascii="Calibri" w:hAnsi="Calibri"/>
          <w:b w:val="0"/>
          <w:i w:val="0"/>
          <w:color w:val="0B2A4A"/>
          <w:sz w:val="24"/>
        </w:rPr>
        <w:t xml:space="preserve">☐  </w:t>
      </w:r>
      <w:r>
        <w:rPr>
          <w:rFonts w:ascii="Calibri" w:hAnsi="Calibri"/>
          <w:b w:val="0"/>
          <w:i w:val="0"/>
          <w:color w:val="1C1C1C"/>
          <w:sz w:val="21"/>
        </w:rPr>
        <w:t>The MC entry is a pointer to the authorized enclave, not a copy of the controlled data.</w:t>
      </w:r>
    </w:p>
    <w:p>
      <w:pPr>
        <w:keepNext/>
        <w:spacing w:before="140" w:after="60"/>
      </w:pPr>
      <w:r>
        <w:rPr>
          <w:rFonts w:ascii="Calibri" w:hAnsi="Calibri"/>
          <w:b/>
          <w:i w:val="0"/>
          <w:color w:val="0B2A4A"/>
          <w:sz w:val="22"/>
        </w:rPr>
        <w:t>6. Confirmed-completed checkpoint (required before CUI work proceeds)</w:t>
      </w:r>
    </w:p>
    <w:p>
      <w:pPr>
        <w:spacing w:after="60"/>
        <w:ind w:left="360"/>
      </w:pPr>
      <w:r>
        <w:rPr>
          <w:rFonts w:ascii="Calibri" w:hAnsi="Calibri"/>
          <w:b w:val="0"/>
          <w:i w:val="0"/>
          <w:color w:val="0B2A4A"/>
          <w:sz w:val="24"/>
        </w:rPr>
        <w:t xml:space="preserve">☐  </w:t>
      </w:r>
      <w:r>
        <w:rPr>
          <w:rFonts w:ascii="Calibri" w:hAnsi="Calibri"/>
          <w:b w:val="0"/>
          <w:i w:val="0"/>
          <w:color w:val="1C1C1C"/>
          <w:sz w:val="21"/>
        </w:rPr>
        <w:t>For any CUI/ITAR/EAR task, confirm in MC that this procedure was completed: correct GCC High location, marking, access list, and that MC holds only a reference + approved link.</w:t>
      </w:r>
    </w:p>
    <w:p>
      <w:pPr>
        <w:spacing w:after="60"/>
        <w:ind w:left="360"/>
      </w:pPr>
      <w:r>
        <w:rPr>
          <w:rFonts w:ascii="Calibri" w:hAnsi="Calibri"/>
          <w:b w:val="0"/>
          <w:i w:val="0"/>
          <w:color w:val="0B2A4A"/>
          <w:sz w:val="24"/>
        </w:rPr>
        <w:t xml:space="preserve">☐  </w:t>
      </w:r>
      <w:r>
        <w:rPr>
          <w:rFonts w:ascii="Calibri" w:hAnsi="Calibri"/>
          <w:b w:val="0"/>
          <w:i w:val="0"/>
          <w:color w:val="1C1C1C"/>
          <w:sz w:val="21"/>
        </w:rPr>
        <w:t>Mark the task's CUI-handling step complete in MC. The task does not advance on the controlled document until this confirmation is recorded.</w:t>
      </w:r>
    </w:p>
    <w:p>
      <w:pPr>
        <w:spacing w:after="60"/>
        <w:ind w:left="360"/>
      </w:pPr>
      <w:r>
        <w:rPr>
          <w:rFonts w:ascii="Calibri" w:hAnsi="Calibri"/>
          <w:b w:val="0"/>
          <w:i w:val="0"/>
          <w:color w:val="0B2A4A"/>
          <w:sz w:val="24"/>
        </w:rPr>
        <w:t xml:space="preserve">☐  </w:t>
      </w:r>
      <w:r>
        <w:rPr>
          <w:rFonts w:ascii="Calibri" w:hAnsi="Calibri"/>
          <w:b w:val="0"/>
          <w:i w:val="0"/>
          <w:color w:val="1C1C1C"/>
          <w:sz w:val="21"/>
        </w:rPr>
        <w:t>The confirmation itself contains no CUI — only the fact that handling was done correctly.</w:t>
      </w:r>
    </w:p>
    <w:p>
      <w:pPr>
        <w:keepNext/>
        <w:spacing w:before="140" w:after="60"/>
      </w:pPr>
      <w:r>
        <w:rPr>
          <w:rFonts w:ascii="Calibri" w:hAnsi="Calibri"/>
          <w:b/>
          <w:i w:val="0"/>
          <w:color w:val="0B2A4A"/>
          <w:sz w:val="22"/>
        </w:rPr>
        <w:t>7. Transmission and sharing</w:t>
      </w:r>
    </w:p>
    <w:p>
      <w:pPr>
        <w:spacing w:after="60"/>
        <w:ind w:left="360"/>
      </w:pPr>
      <w:r>
        <w:rPr>
          <w:rFonts w:ascii="Calibri" w:hAnsi="Calibri"/>
          <w:b w:val="0"/>
          <w:i w:val="0"/>
          <w:color w:val="0B2A4A"/>
          <w:sz w:val="24"/>
        </w:rPr>
        <w:t xml:space="preserve">☐  </w:t>
      </w:r>
      <w:r>
        <w:rPr>
          <w:rFonts w:ascii="Calibri" w:hAnsi="Calibri"/>
          <w:b w:val="0"/>
          <w:i w:val="0"/>
          <w:color w:val="1C1C1C"/>
          <w:sz w:val="21"/>
        </w:rPr>
        <w:t>Share controlled documents only via SharePoint GCC High access — no email attachments, no chat, no download-and-forward.</w:t>
      </w:r>
    </w:p>
    <w:p>
      <w:pPr>
        <w:spacing w:after="60"/>
        <w:ind w:left="360"/>
      </w:pPr>
      <w:r>
        <w:rPr>
          <w:rFonts w:ascii="Calibri" w:hAnsi="Calibri"/>
          <w:b w:val="0"/>
          <w:i w:val="0"/>
          <w:color w:val="0B2A4A"/>
          <w:sz w:val="24"/>
        </w:rPr>
        <w:t xml:space="preserve">☐  </w:t>
      </w:r>
      <w:r>
        <w:rPr>
          <w:rFonts w:ascii="Calibri" w:hAnsi="Calibri"/>
          <w:b w:val="0"/>
          <w:i w:val="0"/>
          <w:color w:val="1C1C1C"/>
          <w:sz w:val="21"/>
        </w:rPr>
        <w:t>External sharing (customer/partner) goes through approved GCC High or government channels with export-control review.</w:t>
      </w:r>
    </w:p>
    <w:p>
      <w:pPr>
        <w:spacing w:after="60"/>
        <w:ind w:left="360"/>
      </w:pPr>
      <w:r>
        <w:rPr>
          <w:rFonts w:ascii="Calibri" w:hAnsi="Calibri"/>
          <w:b w:val="0"/>
          <w:i w:val="0"/>
          <w:color w:val="0B2A4A"/>
          <w:sz w:val="24"/>
        </w:rPr>
        <w:t xml:space="preserve">☐  </w:t>
      </w:r>
      <w:r>
        <w:rPr>
          <w:rFonts w:ascii="Calibri" w:hAnsi="Calibri"/>
          <w:b w:val="0"/>
          <w:i w:val="0"/>
          <w:color w:val="1C1C1C"/>
          <w:sz w:val="21"/>
        </w:rPr>
        <w:t>Never transmit CUI/ITAR/EAR by email of any kind (including GCC High or encrypted email) or by messaging. To deliver CUI to the Government, ask the Government point of contact for a DoD SAFE drop-off link; internally, share only SharePoint GCC High access links (per SEC-CUI Rev 2, §7.4/§9.2).</w:t>
      </w:r>
    </w:p>
    <w:p>
      <w:pPr>
        <w:keepNext/>
        <w:spacing w:before="140" w:after="60"/>
      </w:pPr>
      <w:r>
        <w:rPr>
          <w:rFonts w:ascii="Calibri" w:hAnsi="Calibri"/>
          <w:b/>
          <w:i w:val="0"/>
          <w:color w:val="0B2A4A"/>
          <w:sz w:val="22"/>
        </w:rPr>
        <w:t>8. Retention, audit, and incident response</w:t>
      </w:r>
    </w:p>
    <w:p>
      <w:pPr>
        <w:spacing w:after="60"/>
        <w:ind w:left="360"/>
      </w:pPr>
      <w:r>
        <w:rPr>
          <w:rFonts w:ascii="Calibri" w:hAnsi="Calibri"/>
          <w:b w:val="0"/>
          <w:i w:val="0"/>
          <w:color w:val="0B2A4A"/>
          <w:sz w:val="24"/>
        </w:rPr>
        <w:t xml:space="preserve">☐  </w:t>
      </w:r>
      <w:r>
        <w:rPr>
          <w:rFonts w:ascii="Calibri" w:hAnsi="Calibri"/>
          <w:b w:val="0"/>
          <w:i w:val="0"/>
          <w:color w:val="1C1C1C"/>
          <w:sz w:val="21"/>
        </w:rPr>
        <w:t>Retain controlled documents per contract and regulatory requirements in the GCC High enclave.</w:t>
      </w:r>
    </w:p>
    <w:p>
      <w:pPr>
        <w:spacing w:after="60"/>
        <w:ind w:left="360"/>
      </w:pPr>
      <w:r>
        <w:rPr>
          <w:rFonts w:ascii="Calibri" w:hAnsi="Calibri"/>
          <w:b w:val="0"/>
          <w:i w:val="0"/>
          <w:color w:val="0B2A4A"/>
          <w:sz w:val="24"/>
        </w:rPr>
        <w:t xml:space="preserve">☐  </w:t>
      </w:r>
      <w:r>
        <w:rPr>
          <w:rFonts w:ascii="Calibri" w:hAnsi="Calibri"/>
          <w:b w:val="0"/>
          <w:i w:val="0"/>
          <w:color w:val="1C1C1C"/>
          <w:sz w:val="21"/>
        </w:rPr>
        <w:t>SharePoint GCC High access/audit logging is the record of who accessed what.</w:t>
      </w:r>
    </w:p>
    <w:p>
      <w:pPr>
        <w:spacing w:after="60"/>
        <w:ind w:left="360"/>
      </w:pPr>
      <w:r>
        <w:rPr>
          <w:rFonts w:ascii="Calibri" w:hAnsi="Calibri"/>
          <w:b w:val="0"/>
          <w:i w:val="0"/>
          <w:color w:val="0B2A4A"/>
          <w:sz w:val="24"/>
        </w:rPr>
        <w:t xml:space="preserve">☐  </w:t>
      </w:r>
      <w:r>
        <w:rPr>
          <w:rFonts w:ascii="Calibri" w:hAnsi="Calibri"/>
          <w:b w:val="0"/>
          <w:i w:val="0"/>
          <w:color w:val="1C1C1C"/>
          <w:sz w:val="21"/>
        </w:rPr>
        <w:t>Any suspected spillage (CUI landing outside the enclave — including into MC, email, or local storage) is reported immediately to Security/Atomus and remediated.</w:t>
      </w:r>
    </w:p>
    <w:p>
      <w:pPr>
        <w:keepNext/>
        <w:spacing w:before="140" w:after="60"/>
      </w:pPr>
      <w:r>
        <w:rPr>
          <w:rFonts w:ascii="Calibri" w:hAnsi="Calibri"/>
          <w:b/>
          <w:i w:val="0"/>
          <w:color w:val="0B2A4A"/>
          <w:sz w:val="22"/>
        </w:rPr>
        <w:t>9. Roles and responsibilities</w:t>
      </w:r>
    </w:p>
    <w:p>
      <w:pPr>
        <w:spacing w:after="60"/>
        <w:ind w:left="360"/>
      </w:pPr>
      <w:r>
        <w:rPr>
          <w:rFonts w:ascii="Calibri" w:hAnsi="Calibri"/>
          <w:b w:val="0"/>
          <w:i w:val="0"/>
          <w:color w:val="0B2A4A"/>
          <w:sz w:val="24"/>
        </w:rPr>
        <w:t xml:space="preserve">☐  </w:t>
      </w:r>
      <w:r>
        <w:rPr>
          <w:rFonts w:ascii="Calibri" w:hAnsi="Calibri"/>
          <w:b w:val="0"/>
          <w:i w:val="0"/>
          <w:color w:val="1C1C1C"/>
          <w:sz w:val="21"/>
        </w:rPr>
        <w:t>Task owner: executes this procedure, stores the document correctly, records only the reference + link in MC, and marks the checkpoint complete.</w:t>
      </w:r>
    </w:p>
    <w:p>
      <w:pPr>
        <w:spacing w:after="60"/>
        <w:ind w:left="360"/>
      </w:pPr>
      <w:r>
        <w:rPr>
          <w:rFonts w:ascii="Calibri" w:hAnsi="Calibri"/>
          <w:b w:val="0"/>
          <w:i w:val="0"/>
          <w:color w:val="0B2A4A"/>
          <w:sz w:val="24"/>
        </w:rPr>
        <w:t xml:space="preserve">☐  </w:t>
      </w:r>
      <w:r>
        <w:rPr>
          <w:rFonts w:ascii="Calibri" w:hAnsi="Calibri"/>
          <w:b w:val="0"/>
          <w:i w:val="0"/>
          <w:color w:val="1C1C1C"/>
          <w:sz w:val="21"/>
        </w:rPr>
        <w:t>Security / Atomus: owns markings/designation, access policy, and spillage response.</w:t>
      </w:r>
    </w:p>
    <w:p>
      <w:pPr>
        <w:spacing w:after="60"/>
        <w:ind w:left="360"/>
      </w:pPr>
      <w:r>
        <w:rPr>
          <w:rFonts w:ascii="Calibri" w:hAnsi="Calibri"/>
          <w:b w:val="0"/>
          <w:i w:val="0"/>
          <w:color w:val="0B2A4A"/>
          <w:sz w:val="24"/>
        </w:rPr>
        <w:t xml:space="preserve">☐  </w:t>
      </w:r>
      <w:r>
        <w:rPr>
          <w:rFonts w:ascii="Calibri" w:hAnsi="Calibri"/>
          <w:b w:val="0"/>
          <w:i w:val="0"/>
          <w:color w:val="1C1C1C"/>
          <w:sz w:val="21"/>
        </w:rPr>
        <w:t>Exo / Mission Control: enforces reference-only recording; keeps MC CUI/PII-free; will automate this via the Azure Gov / GCC-High enclave (Decision D-002) when built.</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Exo (Security) administering; Atomus advising; task owner executes   ·   Reference documents: 32 CFR Part 2002 (CUI); ITAR 22 CFR 120-130; EAR 15 CFR 730-774; DFARS 252.204-7012; Microsoft 365 GCC High; ERP-exo3 Decision D-002</w:t>
      </w:r>
    </w:p>
    <w:sectPr w:rsidR="00FC693F" w:rsidRPr="0006063C" w:rsidSect="00034616">
      <w:headerReference w:type="default" r:id="rId9"/>
      <w:footerReference w:type="default" r:id="rId10"/>
      <w:pgSz w:w="12240" w:h="15840"/>
      <w:pgMar w:top="1728" w:right="1296" w:bottom="1440" w:left="1296" w:header="57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right"/>
    </w:pPr>
    <w:r>
      <w:drawing>
        <wp:inline xmlns:a="http://schemas.openxmlformats.org/drawingml/2006/main" xmlns:pic="http://schemas.openxmlformats.org/drawingml/2006/picture">
          <wp:extent cx="3017520" cy="495448"/>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3017520" cy="495448"/>
                  </a:xfrm>
                  <a:prstGeom prst="rect"/>
                </pic:spPr>
              </pic:pic>
            </a:graphicData>
          </a:graphic>
        </wp:inline>
      </w:drawing>
    </w:r>
  </w:p>
  <w:p>
    <w:pPr>
      <w:spacing w:after="0"/>
      <w:jc w:val="left"/>
    </w:pPr>
    <w:r>
      <w:rPr>
        <w:rFonts w:ascii="Calibri" w:hAnsi="Calibri"/>
        <w:b w:val="0"/>
        <w:i w:val="0"/>
        <w:color w:val="606A78"/>
        <w:sz w:val="15"/>
      </w:rPr>
      <w:t>SEC-CUI-STOR Rev 0  ·  Controlled copy — valid for today's date only  ·  Process &amp; Procedure Control per EXOS-US-QMS-001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017520" cy="623046"/>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3017520" cy="62304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