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right"/>
      </w:pPr>
      <w:r>
        <w:rPr>
          <w:rFonts w:ascii="Calibri" w:hAnsi="Calibri"/>
          <w:b/>
          <w:i w:val="0"/>
          <w:color w:val="0B2A4A"/>
          <w:sz w:val="18"/>
        </w:rPr>
        <w:t xml:space="preserve">DOC NO:  </w:t>
      </w:r>
      <w:r>
        <w:rPr>
          <w:rFonts w:ascii="Calibri" w:hAnsi="Calibri"/>
          <w:b w:val="0"/>
          <w:i w:val="0"/>
          <w:color w:val="1C1C1C"/>
          <w:sz w:val="18"/>
        </w:rPr>
        <w:t>EXOS-EXP-001-0</w:t>
      </w:r>
    </w:p>
    <w:p>
      <w:pPr>
        <w:spacing w:after="0" w:before="0"/>
        <w:jc w:val="right"/>
      </w:pPr>
      <w:r>
        <w:rPr>
          <w:rFonts w:ascii="Calibri" w:hAnsi="Calibri"/>
          <w:b/>
          <w:i w:val="0"/>
          <w:color w:val="0B2A4A"/>
          <w:sz w:val="18"/>
        </w:rPr>
        <w:t xml:space="preserve">DATE:  </w:t>
      </w:r>
      <w:r>
        <w:rPr>
          <w:rFonts w:ascii="Calibri" w:hAnsi="Calibri"/>
          <w:b w:val="0"/>
          <w:i w:val="0"/>
          <w:color w:val="1C1C1C"/>
          <w:sz w:val="18"/>
        </w:rPr>
        <w:t>08/28/2026</w:t>
      </w:r>
    </w:p>
    <w:p>
      <w:pPr>
        <w:spacing w:after="0" w:before="0"/>
        <w:jc w:val="right"/>
      </w:pPr>
      <w:r>
        <w:rPr>
          <w:rFonts w:ascii="Calibri" w:hAnsi="Calibri"/>
          <w:b/>
          <w:i w:val="0"/>
          <w:color w:val="0B2A4A"/>
          <w:sz w:val="18"/>
        </w:rPr>
        <w:t xml:space="preserve">STATUS:  </w:t>
      </w:r>
      <w:r>
        <w:rPr>
          <w:rFonts w:ascii="Calibri" w:hAnsi="Calibri"/>
          <w:b w:val="0"/>
          <w:i w:val="0"/>
          <w:color w:val="1C1C1C"/>
          <w:sz w:val="18"/>
        </w:rPr>
        <w:t>APPROVED</w:t>
      </w:r>
    </w:p>
    <w:p>
      <w:pPr>
        <w:spacing w:before="120" w:after="40"/>
        <w:jc w:val="center"/>
        <w:pBdr>
          <w:bottom w:val="single" w:sz="8" w:space="3" w:color="0b2a4a"/>
        </w:pBdr>
      </w:pPr>
      <w:r>
        <w:rPr>
          <w:rFonts w:ascii="Calibri" w:hAnsi="Calibri"/>
          <w:b/>
          <w:i w:val="0"/>
          <w:color w:val="0B2A4A"/>
          <w:sz w:val="34"/>
        </w:rPr>
        <w:t>ITAR/EAR-Compliant Supplier Manufacturing Request Procedure</w:t>
      </w:r>
    </w:p>
    <w:p>
      <w:pPr>
        <w:spacing w:before="160" w:after="200"/>
      </w:pPr>
      <w:r>
        <w:rPr>
          <w:rFonts w:ascii="Calibri" w:hAnsi="Calibri"/>
          <w:b w:val="0"/>
          <w:i w:val="0"/>
          <w:color w:val="1C1C1C"/>
          <w:sz w:val="20"/>
        </w:rPr>
        <w:t xml:space="preserve">Equipment / System No </w:t>
      </w:r>
      <w:r>
        <w:rPr>
          <w:rFonts w:ascii="Calibri" w:hAnsi="Calibri"/>
          <w:b w:val="0"/>
          <w:i w:val="0"/>
          <w:color w:val="606A78"/>
          <w:sz w:val="20"/>
        </w:rPr>
        <w:t>___________________</w:t>
      </w:r>
      <w:r>
        <w:rPr>
          <w:rFonts w:ascii="Calibri" w:hAnsi="Calibri"/>
          <w:b w:val="0"/>
          <w:i w:val="0"/>
          <w:color w:val="1C1C1C"/>
          <w:sz w:val="20"/>
        </w:rPr>
        <w:t xml:space="preserve">     Date </w:t>
      </w:r>
      <w:r>
        <w:rPr>
          <w:rFonts w:ascii="Calibri" w:hAnsi="Calibri"/>
          <w:b w:val="0"/>
          <w:i w:val="0"/>
          <w:color w:val="606A78"/>
          <w:sz w:val="20"/>
        </w:rPr>
        <w:t>_____________</w:t>
      </w:r>
      <w:r>
        <w:rPr>
          <w:rFonts w:ascii="Calibri" w:hAnsi="Calibri"/>
          <w:b w:val="0"/>
          <w:i w:val="0"/>
          <w:color w:val="1C1C1C"/>
          <w:sz w:val="20"/>
        </w:rPr>
        <w:t xml:space="preserve">     Performed by </w:t>
      </w:r>
      <w:r>
        <w:rPr>
          <w:rFonts w:ascii="Calibri" w:hAnsi="Calibri"/>
          <w:b w:val="0"/>
          <w:i w:val="0"/>
          <w:color w:val="606A78"/>
          <w:sz w:val="20"/>
        </w:rPr>
        <w:t>______________________________</w:t>
      </w:r>
    </w:p>
    <w:p>
      <w:pPr>
        <w:keepNext/>
        <w:spacing w:before="200" w:after="80"/>
        <w:pBdr>
          <w:bottom w:val="single" w:sz="6" w:space="3" w:color="c8102e"/>
        </w:pBdr>
      </w:pPr>
      <w:r>
        <w:rPr>
          <w:rFonts w:ascii="Calibri" w:hAnsi="Calibri"/>
          <w:b/>
          <w:i w:val="0"/>
          <w:color w:val="0B2A4A"/>
          <w:sz w:val="24"/>
        </w:rPr>
        <w:t>SAFETY / ENVIRONMENTAL</w:t>
      </w:r>
    </w:p>
    <w:p>
      <w:pPr>
        <w:spacing w:after="120"/>
      </w:pPr>
      <w:r>
        <w:rPr>
          <w:rFonts w:ascii="Calibri" w:hAnsi="Calibri"/>
          <w:b w:val="0"/>
          <w:i w:val="0"/>
          <w:color w:val="1C1C1C"/>
          <w:sz w:val="21"/>
        </w:rPr>
        <w:t>Verify that all personnel who will be involved with this activity are familiar with this procedure, any risks or hazards that may be encountered, possess the required safety equipment, and are familiar with the site safety and environmental policies.</w:t>
      </w:r>
    </w:p>
    <w:p>
      <w:pPr>
        <w:keepNext/>
        <w:spacing w:before="200" w:after="80"/>
        <w:pBdr>
          <w:bottom w:val="single" w:sz="6" w:space="3" w:color="c8102e"/>
        </w:pBdr>
      </w:pPr>
      <w:r>
        <w:rPr>
          <w:rFonts w:ascii="Calibri" w:hAnsi="Calibri"/>
          <w:b/>
          <w:i w:val="0"/>
          <w:color w:val="0B2A4A"/>
          <w:sz w:val="24"/>
        </w:rPr>
        <w:t>OBJECTIVE</w:t>
      </w:r>
    </w:p>
    <w:p>
      <w:pPr>
        <w:spacing w:after="120"/>
      </w:pPr>
      <w:r>
        <w:rPr>
          <w:rFonts w:ascii="Calibri" w:hAnsi="Calibri"/>
          <w:b w:val="0"/>
          <w:i w:val="0"/>
          <w:color w:val="1C1C1C"/>
          <w:sz w:val="21"/>
        </w:rPr>
        <w:t>The purpose of this procedure is to establish the standard, repeatable steps Exos follows to request a supplier to manufacture a rocket part while remaining fully compliant with the International Traffic in Arms Regulations (ITAR, 22 CFR 120-130) and the Export Administration Regulations (EAR, 15 CFR 730-774), so that the part is made only by a U.S.-domiciled supplier that is already recorded in Mission Control and has cleared Exos supplier due diligence, and so that no controlled technical data is released without an Empowered Official authorization</w:t>
      </w:r>
    </w:p>
    <w:p>
      <w:pPr>
        <w:keepNext/>
        <w:spacing w:before="200" w:after="80"/>
        <w:pBdr>
          <w:bottom w:val="single" w:sz="6" w:space="3" w:color="c8102e"/>
        </w:pBdr>
      </w:pPr>
      <w:r>
        <w:rPr>
          <w:rFonts w:ascii="Calibri" w:hAnsi="Calibri"/>
          <w:b/>
          <w:i w:val="0"/>
          <w:color w:val="0B2A4A"/>
          <w:sz w:val="24"/>
        </w:rPr>
        <w:t>OVERVIEW</w:t>
      </w:r>
    </w:p>
    <w:p>
      <w:pPr>
        <w:spacing w:after="120"/>
      </w:pPr>
      <w:r>
        <w:rPr>
          <w:rFonts w:ascii="Calibri" w:hAnsi="Calibri"/>
          <w:b w:val="0"/>
          <w:i w:val="0"/>
          <w:color w:val="1C1C1C"/>
          <w:sz w:val="21"/>
        </w:rPr>
        <w:t>Exos rocket parts and their technical data (drawings, CAD models, specifications, dimensions, materials, and processes) are frequently ITAR-controlled defense articles and technical data (for example USML Category IV launch-vehicle components or Category XV spacecraft components) or are controlled under the EAR. Releasing that technical data to a supplier - even a domestic one - can be an export or a deemed export if a foreign person accesses it. Accordingly, every supplier manufacturing request is gated behind four controls: (1) an export jurisdiction and classification determination for both the part and the technical data; (2) a requirement that the supplier be U.S.-domiciled, already in Mission Control, and cleared through Exos due diligence; (3) technical-data marking, minimization, and access control; and (4) written Empowered Official authorization before any controlled technical data is released or any purchase order is issued. This procedure applies to any request to have a supplier fabricate, machine, build, or process a rocket part or component from Exos-furnished technical data. It does not authorize foreign suppliers, foreign places of performance, or foreign-person access - any of those stops the process and routes to the Empowered Official. If a vendor is not already in Mission Control, the requestor must add the company to the CRM and have Exobot complete due diligence before anything is sent to the vendor, and a signed NDA is required before any drawings or specifications are released.</w:t>
      </w:r>
    </w:p>
    <w:p>
      <w:pPr>
        <w:keepNext/>
        <w:spacing w:before="200" w:after="80"/>
        <w:pBdr>
          <w:bottom w:val="single" w:sz="6" w:space="3" w:color="c8102e"/>
        </w:pBdr>
      </w:pPr>
      <w:r>
        <w:rPr>
          <w:rFonts w:ascii="Calibri" w:hAnsi="Calibri"/>
          <w:b/>
          <w:i w:val="0"/>
          <w:color w:val="0B2A4A"/>
          <w:sz w:val="24"/>
        </w:rPr>
        <w:t>PROCEDURE</w:t>
      </w:r>
    </w:p>
    <w:p>
      <w:pPr>
        <w:keepNext/>
        <w:spacing w:before="140" w:after="60"/>
      </w:pPr>
      <w:r>
        <w:rPr>
          <w:rFonts w:ascii="Calibri" w:hAnsi="Calibri"/>
          <w:b/>
          <w:i w:val="0"/>
          <w:color w:val="0B2A4A"/>
          <w:sz w:val="22"/>
        </w:rPr>
        <w:t>Task 1 - Classify the Part and Its Technical Data</w:t>
      </w:r>
    </w:p>
    <w:p>
      <w:pPr>
        <w:spacing w:after="60"/>
        <w:ind w:left="360"/>
      </w:pPr>
      <w:r>
        <w:rPr>
          <w:rFonts w:ascii="Calibri" w:hAnsi="Calibri"/>
          <w:b w:val="0"/>
          <w:i w:val="0"/>
          <w:color w:val="0B2A4A"/>
          <w:sz w:val="24"/>
        </w:rPr>
        <w:t xml:space="preserve">☐  </w:t>
      </w:r>
      <w:r>
        <w:rPr>
          <w:rFonts w:ascii="Calibri" w:hAnsi="Calibri"/>
          <w:b w:val="0"/>
          <w:i w:val="0"/>
          <w:color w:val="1C1C1C"/>
          <w:sz w:val="21"/>
        </w:rPr>
        <w:t>Before contacting any supplier, determine the export jurisdiction of BOTH the physical part and the technical data to be shared: ITAR (U.S. Munitions List) versus EAR (ECCN or EAR99).</w:t>
      </w:r>
    </w:p>
    <w:p>
      <w:pPr>
        <w:spacing w:after="60"/>
        <w:ind w:left="360"/>
      </w:pPr>
      <w:r>
        <w:rPr>
          <w:rFonts w:ascii="Calibri" w:hAnsi="Calibri"/>
          <w:b w:val="0"/>
          <w:i w:val="0"/>
          <w:color w:val="0B2A4A"/>
          <w:sz w:val="24"/>
        </w:rPr>
        <w:t xml:space="preserve">☐  </w:t>
      </w:r>
      <w:r>
        <w:rPr>
          <w:rFonts w:ascii="Calibri" w:hAnsi="Calibri"/>
          <w:b w:val="0"/>
          <w:i w:val="0"/>
          <w:color w:val="1C1C1C"/>
          <w:sz w:val="21"/>
        </w:rPr>
        <w:t>Identify the specific USML category (e.g., Category IV for launch vehicles/missiles, Category XV for spacecraft) or the applicable ECCN; if the jurisdiction or classification is uncertain, request a formal classification or Commodity Jurisdiction determination through the Empowered Official and do NOT guess.</w:t>
      </w:r>
    </w:p>
    <w:p>
      <w:pPr>
        <w:spacing w:after="60"/>
        <w:ind w:left="360"/>
      </w:pPr>
      <w:r>
        <w:rPr>
          <w:rFonts w:ascii="Calibri" w:hAnsi="Calibri"/>
          <w:b w:val="0"/>
          <w:i w:val="0"/>
          <w:color w:val="0B2A4A"/>
          <w:sz w:val="24"/>
        </w:rPr>
        <w:t xml:space="preserve">☐  </w:t>
      </w:r>
      <w:r>
        <w:rPr>
          <w:rFonts w:ascii="Calibri" w:hAnsi="Calibri"/>
          <w:b w:val="0"/>
          <w:i w:val="0"/>
          <w:color w:val="1C1C1C"/>
          <w:sz w:val="21"/>
        </w:rPr>
        <w:t>Assemble the exact technical data package (drawings, CAD, specifications, process instructions) that must be shared with the supplier; the package inherits the most restrictive classification of any item in it.</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the determination - jurisdiction, category or ECCN, rationale, determiner, and date - in the export-control record for the part.</w:t>
      </w:r>
    </w:p>
    <w:p>
      <w:pPr>
        <w:spacing w:after="60"/>
        <w:ind w:left="360"/>
      </w:pPr>
      <w:r>
        <w:rPr>
          <w:rFonts w:ascii="Calibri" w:hAnsi="Calibri"/>
          <w:b w:val="0"/>
          <w:i w:val="0"/>
          <w:color w:val="0B2A4A"/>
          <w:sz w:val="24"/>
        </w:rPr>
        <w:t xml:space="preserve">☐  </w:t>
      </w:r>
      <w:r>
        <w:rPr>
          <w:rFonts w:ascii="Calibri" w:hAnsi="Calibri"/>
          <w:b w:val="0"/>
          <w:i w:val="0"/>
          <w:color w:val="1C1C1C"/>
          <w:sz w:val="21"/>
        </w:rPr>
        <w:t>If the part is a USML defense article, confirm Exos's DDTC registration (22 CFR 122) is current before proceeding.</w:t>
      </w:r>
    </w:p>
    <w:p>
      <w:pPr>
        <w:keepNext/>
        <w:spacing w:before="140" w:after="60"/>
      </w:pPr>
      <w:r>
        <w:rPr>
          <w:rFonts w:ascii="Calibri" w:hAnsi="Calibri"/>
          <w:b/>
          <w:i w:val="0"/>
          <w:color w:val="0B2A4A"/>
          <w:sz w:val="22"/>
        </w:rPr>
        <w:t>Task 2 - Confirm the Vendor Is in Mission Control and DD-Cleared, or Onboard It First</w:t>
      </w:r>
    </w:p>
    <w:p>
      <w:pPr>
        <w:spacing w:after="60"/>
        <w:ind w:left="360"/>
      </w:pPr>
      <w:r>
        <w:rPr>
          <w:rFonts w:ascii="Calibri" w:hAnsi="Calibri"/>
          <w:b w:val="0"/>
          <w:i w:val="0"/>
          <w:color w:val="0B2A4A"/>
          <w:sz w:val="24"/>
        </w:rPr>
        <w:t xml:space="preserve">☐  </w:t>
      </w:r>
      <w:r>
        <w:rPr>
          <w:rFonts w:ascii="Calibri" w:hAnsi="Calibri"/>
          <w:b w:val="0"/>
          <w:i w:val="0"/>
          <w:color w:val="1C1C1C"/>
          <w:sz w:val="21"/>
        </w:rPr>
        <w:t>Check whether the vendor already exists in the Exos Mission Control CRM / supplier registry.</w:t>
      </w:r>
    </w:p>
    <w:p>
      <w:pPr>
        <w:spacing w:after="60"/>
        <w:ind w:left="360"/>
      </w:pPr>
      <w:r>
        <w:rPr>
          <w:rFonts w:ascii="Calibri" w:hAnsi="Calibri"/>
          <w:b w:val="0"/>
          <w:i w:val="0"/>
          <w:color w:val="0B2A4A"/>
          <w:sz w:val="24"/>
        </w:rPr>
        <w:t xml:space="preserve">☐  </w:t>
      </w:r>
      <w:r>
        <w:rPr>
          <w:rFonts w:ascii="Calibri" w:hAnsi="Calibri"/>
          <w:b w:val="0"/>
          <w:i w:val="0"/>
          <w:color w:val="1C1C1C"/>
          <w:sz w:val="21"/>
        </w:rPr>
        <w:t>If the vendor is NOT already in the CRM, the requestor must add the company to the Mission Control CRM and request Exobot due diligence FIRST; do not contact the vendor or send anything - no request for quote, specifications, NDA, or drawings - until the vendor is onboarded and its due diligence is complete and CLEARED.</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the vendor's Due Diligence status is CLEARED in the Mission Control supplier DD registry (OFAC/denied-parties, SAM, debarment, and FOCI screening complete and passing); do not proceed while due diligence is pending or failed.</w:t>
      </w:r>
    </w:p>
    <w:p>
      <w:pPr>
        <w:spacing w:after="60"/>
        <w:ind w:left="360"/>
      </w:pPr>
      <w:r>
        <w:rPr>
          <w:rFonts w:ascii="Calibri" w:hAnsi="Calibri"/>
          <w:b w:val="0"/>
          <w:i w:val="0"/>
          <w:color w:val="0B2A4A"/>
          <w:sz w:val="24"/>
        </w:rPr>
        <w:t xml:space="preserve">☐  </w:t>
      </w:r>
      <w:r>
        <w:rPr>
          <w:rFonts w:ascii="Calibri" w:hAnsi="Calibri"/>
          <w:b w:val="0"/>
          <w:i w:val="0"/>
          <w:color w:val="1C1C1C"/>
          <w:sz w:val="21"/>
        </w:rPr>
        <w:t>Verify the vendor is a U.S.-domiciled entity that will perform the work in the United States; reject any foreign supplier or foreign place of performance - this procedure is U.S.-only by design.</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the vendor is not on any denied or debarred list (ITAR 22 CFR 127.7 debarred parties, EAR Denied Persons and Entity List, OFAC SDN, SAM exclusions); if the DD clearance is older than the Exos re-screen interval, request a fresh Exobot screen before proceeding.</w:t>
      </w:r>
    </w:p>
    <w:p>
      <w:pPr>
        <w:spacing w:after="60"/>
        <w:ind w:left="360"/>
      </w:pPr>
      <w:r>
        <w:rPr>
          <w:rFonts w:ascii="Calibri" w:hAnsi="Calibri"/>
          <w:b w:val="0"/>
          <w:i w:val="0"/>
          <w:color w:val="0B2A4A"/>
          <w:sz w:val="24"/>
        </w:rPr>
        <w:t xml:space="preserve">☐  </w:t>
      </w:r>
      <w:r>
        <w:rPr>
          <w:rFonts w:ascii="Calibri" w:hAnsi="Calibri"/>
          <w:b w:val="0"/>
          <w:i w:val="0"/>
          <w:color w:val="1C1C1C"/>
          <w:sz w:val="21"/>
        </w:rPr>
        <w:t>If the vendor is U.S.-domiciled but has foreign-person employees or foreign ownership, control, or influence (FOCI), STOP and route to the Empowered Official - releasing technical data may be a deemed export requiring separate authorization or access controls.</w:t>
      </w:r>
    </w:p>
    <w:p>
      <w:pPr>
        <w:keepNext/>
        <w:spacing w:before="140" w:after="60"/>
      </w:pPr>
      <w:r>
        <w:rPr>
          <w:rFonts w:ascii="Calibri" w:hAnsi="Calibri"/>
          <w:b/>
          <w:i w:val="0"/>
          <w:color w:val="0B2A4A"/>
          <w:sz w:val="22"/>
        </w:rPr>
        <w:t>Task 3 - Put Export-Control Agreements and Flow-Downs in Place</w:t>
      </w:r>
    </w:p>
    <w:p>
      <w:pPr>
        <w:spacing w:after="60"/>
        <w:ind w:left="360"/>
      </w:pPr>
      <w:r>
        <w:rPr>
          <w:rFonts w:ascii="Calibri" w:hAnsi="Calibri"/>
          <w:b w:val="0"/>
          <w:i w:val="0"/>
          <w:color w:val="0B2A4A"/>
          <w:sz w:val="24"/>
        </w:rPr>
        <w:t xml:space="preserve">☐  </w:t>
      </w:r>
      <w:r>
        <w:rPr>
          <w:rFonts w:ascii="Calibri" w:hAnsi="Calibri"/>
          <w:b w:val="0"/>
          <w:i w:val="0"/>
          <w:color w:val="1C1C1C"/>
          <w:sz w:val="21"/>
        </w:rPr>
        <w:t>A fully executed nondisclosure / proprietary-information agreement (NDA) that includes an export-control clause is REQUIRED before any drawings or technical data are sent to the vendor - no drawings or specifications go out until the NDA is signed and on file.</w:t>
      </w:r>
    </w:p>
    <w:p>
      <w:pPr>
        <w:spacing w:after="60"/>
        <w:ind w:left="360"/>
      </w:pPr>
      <w:r>
        <w:rPr>
          <w:rFonts w:ascii="Calibri" w:hAnsi="Calibri"/>
          <w:b w:val="0"/>
          <w:i w:val="0"/>
          <w:color w:val="0B2A4A"/>
          <w:sz w:val="24"/>
        </w:rPr>
        <w:t xml:space="preserve">☐  </w:t>
      </w:r>
      <w:r>
        <w:rPr>
          <w:rFonts w:ascii="Calibri" w:hAnsi="Calibri"/>
          <w:b w:val="0"/>
          <w:i w:val="0"/>
          <w:color w:val="1C1C1C"/>
          <w:sz w:val="21"/>
        </w:rPr>
        <w:t>Include ITAR/EAR compliance flow-down clauses in the purchase order or manufacturing agreement: U.S.-person handling only, no re-export or retransfer, no foreign-person access without Exos written authorization, and record-retention obligations.</w:t>
      </w:r>
    </w:p>
    <w:p>
      <w:pPr>
        <w:spacing w:after="60"/>
        <w:ind w:left="360"/>
      </w:pPr>
      <w:r>
        <w:rPr>
          <w:rFonts w:ascii="Calibri" w:hAnsi="Calibri"/>
          <w:b w:val="0"/>
          <w:i w:val="0"/>
          <w:color w:val="0B2A4A"/>
          <w:sz w:val="24"/>
        </w:rPr>
        <w:t xml:space="preserve">☐  </w:t>
      </w:r>
      <w:r>
        <w:rPr>
          <w:rFonts w:ascii="Calibri" w:hAnsi="Calibri"/>
          <w:b w:val="0"/>
          <w:i w:val="0"/>
          <w:color w:val="1C1C1C"/>
          <w:sz w:val="21"/>
        </w:rPr>
        <w:t>Obtain the supplier's written attestation that all personnel who will access the technical data are U.S. persons (22 CFR 120.62) and that the data will be stored and handled only within the United States.</w:t>
      </w:r>
    </w:p>
    <w:p>
      <w:pPr>
        <w:spacing w:after="60"/>
        <w:ind w:left="360"/>
      </w:pPr>
      <w:r>
        <w:rPr>
          <w:rFonts w:ascii="Calibri" w:hAnsi="Calibri"/>
          <w:b w:val="0"/>
          <w:i w:val="0"/>
          <w:color w:val="0B2A4A"/>
          <w:sz w:val="24"/>
        </w:rPr>
        <w:t xml:space="preserve">☐  </w:t>
      </w:r>
      <w:r>
        <w:rPr>
          <w:rFonts w:ascii="Calibri" w:hAnsi="Calibri"/>
          <w:b w:val="0"/>
          <w:i w:val="0"/>
          <w:color w:val="1C1C1C"/>
          <w:sz w:val="21"/>
        </w:rPr>
        <w:t>Do not release any controlled technical data until the agreements and flow-down clauses are executed and on file.</w:t>
      </w:r>
    </w:p>
    <w:p>
      <w:pPr>
        <w:keepNext/>
        <w:spacing w:before="140" w:after="60"/>
      </w:pPr>
      <w:r>
        <w:rPr>
          <w:rFonts w:ascii="Calibri" w:hAnsi="Calibri"/>
          <w:b/>
          <w:i w:val="0"/>
          <w:color w:val="0B2A4A"/>
          <w:sz w:val="22"/>
        </w:rPr>
        <w:t>Task 4 - Mark, Minimize, and Control the Technical Data</w:t>
      </w:r>
    </w:p>
    <w:p>
      <w:pPr>
        <w:spacing w:after="60"/>
        <w:ind w:left="360"/>
      </w:pPr>
      <w:r>
        <w:rPr>
          <w:rFonts w:ascii="Calibri" w:hAnsi="Calibri"/>
          <w:b w:val="0"/>
          <w:i w:val="0"/>
          <w:color w:val="0B2A4A"/>
          <w:sz w:val="24"/>
        </w:rPr>
        <w:t xml:space="preserve">☐  </w:t>
      </w:r>
      <w:r>
        <w:rPr>
          <w:rFonts w:ascii="Calibri" w:hAnsi="Calibri"/>
          <w:b w:val="0"/>
          <w:i w:val="0"/>
          <w:color w:val="1C1C1C"/>
          <w:sz w:val="21"/>
        </w:rPr>
        <w:t>Apply the appropriate export-control marking/legend (ITAR or EAR, as classified in Task 1) to every drawing, model, and document in the package.</w:t>
      </w:r>
    </w:p>
    <w:p>
      <w:pPr>
        <w:spacing w:after="60"/>
        <w:ind w:left="360"/>
      </w:pPr>
      <w:r>
        <w:rPr>
          <w:rFonts w:ascii="Calibri" w:hAnsi="Calibri"/>
          <w:b w:val="0"/>
          <w:i w:val="0"/>
          <w:color w:val="0B2A4A"/>
          <w:sz w:val="24"/>
        </w:rPr>
        <w:t xml:space="preserve">☐  </w:t>
      </w:r>
      <w:r>
        <w:rPr>
          <w:rFonts w:ascii="Calibri" w:hAnsi="Calibri"/>
          <w:b w:val="0"/>
          <w:i w:val="0"/>
          <w:color w:val="1C1C1C"/>
          <w:sz w:val="21"/>
        </w:rPr>
        <w:t>Release only the minimum technical data necessary for the supplier to make the part (need-to-know); do not send the full data room when a single drawing suffices.</w:t>
      </w:r>
    </w:p>
    <w:p>
      <w:pPr>
        <w:spacing w:after="60"/>
        <w:ind w:left="360"/>
      </w:pPr>
      <w:r>
        <w:rPr>
          <w:rFonts w:ascii="Calibri" w:hAnsi="Calibri"/>
          <w:b w:val="0"/>
          <w:i w:val="0"/>
          <w:color w:val="0B2A4A"/>
          <w:sz w:val="24"/>
        </w:rPr>
        <w:t xml:space="preserve">☐  </w:t>
      </w:r>
      <w:r>
        <w:rPr>
          <w:rFonts w:ascii="Calibri" w:hAnsi="Calibri"/>
          <w:b w:val="0"/>
          <w:i w:val="0"/>
          <w:color w:val="1C1C1C"/>
          <w:sz w:val="21"/>
        </w:rPr>
        <w:t>Transmit the technical data only through the Exos approved, access-controlled channel (the export-screen / controlled-artifact release path); never use personal email, uncontrolled email, or personal or foreign cloud storage.</w:t>
      </w:r>
    </w:p>
    <w:p>
      <w:pPr>
        <w:spacing w:after="60"/>
        <w:ind w:left="360"/>
      </w:pPr>
      <w:r>
        <w:rPr>
          <w:rFonts w:ascii="Calibri" w:hAnsi="Calibri"/>
          <w:b w:val="0"/>
          <w:i w:val="0"/>
          <w:color w:val="0B2A4A"/>
          <w:sz w:val="24"/>
        </w:rPr>
        <w:t xml:space="preserve">☐  </w:t>
      </w:r>
      <w:r>
        <w:rPr>
          <w:rFonts w:ascii="Calibri" w:hAnsi="Calibri"/>
          <w:b w:val="0"/>
          <w:i w:val="0"/>
          <w:color w:val="1C1C1C"/>
          <w:sz w:val="21"/>
        </w:rPr>
        <w:t>Before sending, confirm the supplier's receiving personnel and storage location match the U.S.-person and U.S.-location attestation obtained in Task 3.</w:t>
      </w:r>
    </w:p>
    <w:p>
      <w:pPr>
        <w:keepNext/>
        <w:spacing w:before="140" w:after="60"/>
      </w:pPr>
      <w:r>
        <w:rPr>
          <w:rFonts w:ascii="Calibri" w:hAnsi="Calibri"/>
          <w:b/>
          <w:i w:val="0"/>
          <w:color w:val="0B2A4A"/>
          <w:sz w:val="22"/>
        </w:rPr>
        <w:t>Task 5 - Obtain Empowered Official Authorization to Release</w:t>
      </w:r>
    </w:p>
    <w:p>
      <w:pPr>
        <w:spacing w:after="60"/>
        <w:ind w:left="360"/>
      </w:pPr>
      <w:r>
        <w:rPr>
          <w:rFonts w:ascii="Calibri" w:hAnsi="Calibri"/>
          <w:b w:val="0"/>
          <w:i w:val="0"/>
          <w:color w:val="0B2A4A"/>
          <w:sz w:val="24"/>
        </w:rPr>
        <w:t xml:space="preserve">☐  </w:t>
      </w:r>
      <w:r>
        <w:rPr>
          <w:rFonts w:ascii="Calibri" w:hAnsi="Calibri"/>
          <w:b w:val="0"/>
          <w:i w:val="0"/>
          <w:color w:val="1C1C1C"/>
          <w:sz w:val="21"/>
        </w:rPr>
        <w:t>Compile the release package: the classification determination (Task 1), the supplier DD-clearance record (Task 2), the executed agreement and flow-downs (Task 3), the U.S.-person attestation, and the list of marked technical data to be released (Task 4).</w:t>
      </w:r>
    </w:p>
    <w:p>
      <w:pPr>
        <w:spacing w:after="60"/>
        <w:ind w:left="360"/>
      </w:pPr>
      <w:r>
        <w:rPr>
          <w:rFonts w:ascii="Calibri" w:hAnsi="Calibri"/>
          <w:b w:val="0"/>
          <w:i w:val="0"/>
          <w:color w:val="0B2A4A"/>
          <w:sz w:val="24"/>
        </w:rPr>
        <w:t xml:space="preserve">☐  </w:t>
      </w:r>
      <w:r>
        <w:rPr>
          <w:rFonts w:ascii="Calibri" w:hAnsi="Calibri"/>
          <w:b w:val="0"/>
          <w:i w:val="0"/>
          <w:color w:val="1C1C1C"/>
          <w:sz w:val="21"/>
        </w:rPr>
        <w:t>Route the release package to the Exos Empowered Official for written authorization to release the technical data to the supplier.</w:t>
      </w:r>
    </w:p>
    <w:p>
      <w:pPr>
        <w:spacing w:after="60"/>
        <w:ind w:left="360"/>
      </w:pPr>
      <w:r>
        <w:rPr>
          <w:rFonts w:ascii="Calibri" w:hAnsi="Calibri"/>
          <w:b w:val="0"/>
          <w:i w:val="0"/>
          <w:color w:val="0B2A4A"/>
          <w:sz w:val="24"/>
        </w:rPr>
        <w:t xml:space="preserve">☐  </w:t>
      </w:r>
      <w:r>
        <w:rPr>
          <w:rFonts w:ascii="Calibri" w:hAnsi="Calibri"/>
          <w:b w:val="0"/>
          <w:i w:val="0"/>
          <w:color w:val="1C1C1C"/>
          <w:sz w:val="21"/>
        </w:rPr>
        <w:t>The Empowered Official confirms that for a wholly domestic transaction handled by U.S. persons no license or agreement (TAA, MLA, or export license) is required - OR, if any foreign supplier, foreign place of performance, foreign-person access, or other export is involved, that the required DDTC or BIS authorization is already in hand.</w:t>
      </w:r>
    </w:p>
    <w:p>
      <w:pPr>
        <w:spacing w:after="60"/>
        <w:ind w:left="360"/>
      </w:pPr>
      <w:r>
        <w:rPr>
          <w:rFonts w:ascii="Calibri" w:hAnsi="Calibri"/>
          <w:b w:val="0"/>
          <w:i w:val="0"/>
          <w:color w:val="0B2A4A"/>
          <w:sz w:val="24"/>
        </w:rPr>
        <w:t xml:space="preserve">☐  </w:t>
      </w:r>
      <w:r>
        <w:rPr>
          <w:rFonts w:ascii="Calibri" w:hAnsi="Calibri"/>
          <w:b w:val="0"/>
          <w:i w:val="0"/>
          <w:color w:val="1C1C1C"/>
          <w:sz w:val="21"/>
        </w:rPr>
        <w:t>Do not transmit any technical data or issue the purchase order until the written authorization is recorded.</w:t>
      </w:r>
    </w:p>
    <w:p>
      <w:pPr>
        <w:keepNext/>
        <w:spacing w:before="140" w:after="60"/>
      </w:pPr>
      <w:r>
        <w:rPr>
          <w:rFonts w:ascii="Calibri" w:hAnsi="Calibri"/>
          <w:b/>
          <w:i w:val="0"/>
          <w:color w:val="0B2A4A"/>
          <w:sz w:val="22"/>
        </w:rPr>
        <w:t>Task 6 - Issue the Request, Log It, and Retain Records</w:t>
      </w:r>
    </w:p>
    <w:p>
      <w:pPr>
        <w:spacing w:after="60"/>
        <w:ind w:left="360"/>
      </w:pPr>
      <w:r>
        <w:rPr>
          <w:rFonts w:ascii="Calibri" w:hAnsi="Calibri"/>
          <w:b w:val="0"/>
          <w:i w:val="0"/>
          <w:color w:val="0B2A4A"/>
          <w:sz w:val="24"/>
        </w:rPr>
        <w:t xml:space="preserve">☐  </w:t>
      </w:r>
      <w:r>
        <w:rPr>
          <w:rFonts w:ascii="Calibri" w:hAnsi="Calibri"/>
          <w:b w:val="0"/>
          <w:i w:val="0"/>
          <w:color w:val="1C1C1C"/>
          <w:sz w:val="21"/>
        </w:rPr>
        <w:t>Issue the purchase order or manufacturing request to the DD-cleared U.S. supplier with the export-control flow-down clauses attached.</w:t>
      </w:r>
    </w:p>
    <w:p>
      <w:pPr>
        <w:spacing w:after="60"/>
        <w:ind w:left="360"/>
      </w:pPr>
      <w:r>
        <w:rPr>
          <w:rFonts w:ascii="Calibri" w:hAnsi="Calibri"/>
          <w:b w:val="0"/>
          <w:i w:val="0"/>
          <w:color w:val="0B2A4A"/>
          <w:sz w:val="24"/>
        </w:rPr>
        <w:t xml:space="preserve">☐  </w:t>
      </w:r>
      <w:r>
        <w:rPr>
          <w:rFonts w:ascii="Calibri" w:hAnsi="Calibri"/>
          <w:b w:val="0"/>
          <w:i w:val="0"/>
          <w:color w:val="1C1C1C"/>
          <w:sz w:val="21"/>
        </w:rPr>
        <w:t>Release the marked technical data through the approved access-controlled channel exactly as authorized - no more, no less.</w:t>
      </w:r>
    </w:p>
    <w:p>
      <w:pPr>
        <w:spacing w:after="60"/>
        <w:ind w:left="360"/>
      </w:pPr>
      <w:r>
        <w:rPr>
          <w:rFonts w:ascii="Calibri" w:hAnsi="Calibri"/>
          <w:b w:val="0"/>
          <w:i w:val="0"/>
          <w:color w:val="0B2A4A"/>
          <w:sz w:val="24"/>
        </w:rPr>
        <w:t xml:space="preserve">☐  </w:t>
      </w:r>
      <w:r>
        <w:rPr>
          <w:rFonts w:ascii="Calibri" w:hAnsi="Calibri"/>
          <w:b w:val="0"/>
          <w:i w:val="0"/>
          <w:color w:val="1C1C1C"/>
          <w:sz w:val="21"/>
        </w:rPr>
        <w:t>Log the transaction in Mission Control against both the supplier and the part so the controlled release is auditable.</w:t>
      </w:r>
    </w:p>
    <w:p>
      <w:pPr>
        <w:spacing w:after="60"/>
        <w:ind w:left="360"/>
      </w:pPr>
      <w:r>
        <w:rPr>
          <w:rFonts w:ascii="Calibri" w:hAnsi="Calibri"/>
          <w:b w:val="0"/>
          <w:i w:val="0"/>
          <w:color w:val="0B2A4A"/>
          <w:sz w:val="24"/>
        </w:rPr>
        <w:t xml:space="preserve">☐  </w:t>
      </w:r>
      <w:r>
        <w:rPr>
          <w:rFonts w:ascii="Calibri" w:hAnsi="Calibri"/>
          <w:b w:val="0"/>
          <w:i w:val="0"/>
          <w:color w:val="1C1C1C"/>
          <w:sz w:val="21"/>
        </w:rPr>
        <w:t>Retain the complete export-control record - classification, DD clearance, agreements, attestations, authorization, purchase order, and transmittal log - for a minimum of five (5) years per ITAR 22 CFR 122.5 (and per EAR recordkeeping where applicable).</w:t>
      </w:r>
    </w:p>
    <w:p>
      <w:pPr>
        <w:spacing w:after="60"/>
        <w:ind w:left="360"/>
      </w:pPr>
      <w:r>
        <w:rPr>
          <w:rFonts w:ascii="Calibri" w:hAnsi="Calibri"/>
          <w:b w:val="0"/>
          <w:i w:val="0"/>
          <w:color w:val="0B2A4A"/>
          <w:sz w:val="24"/>
        </w:rPr>
        <w:t xml:space="preserve">☐  </w:t>
      </w:r>
      <w:r>
        <w:rPr>
          <w:rFonts w:ascii="Calibri" w:hAnsi="Calibri"/>
          <w:b w:val="0"/>
          <w:i w:val="0"/>
          <w:color w:val="1C1C1C"/>
          <w:sz w:val="21"/>
        </w:rPr>
        <w:t>On receipt, verify the part against specification, close the request, and report any compliance deviation to the Empowered Official immediately.</w:t>
      </w:r>
    </w:p>
    <w:p>
      <w:pPr>
        <w:keepNext/>
        <w:spacing w:before="140" w:after="60"/>
      </w:pPr>
      <w:r>
        <w:rPr>
          <w:rFonts w:ascii="Calibri" w:hAnsi="Calibri"/>
          <w:b/>
          <w:i w:val="0"/>
          <w:color w:val="0B2A4A"/>
          <w:sz w:val="22"/>
        </w:rPr>
        <w:t>Task 7 - Get Clarification and Escalate</w:t>
      </w:r>
    </w:p>
    <w:p>
      <w:pPr>
        <w:spacing w:after="60"/>
        <w:ind w:left="360"/>
      </w:pPr>
      <w:r>
        <w:rPr>
          <w:rFonts w:ascii="Calibri" w:hAnsi="Calibri"/>
          <w:b w:val="0"/>
          <w:i w:val="0"/>
          <w:color w:val="0B2A4A"/>
          <w:sz w:val="24"/>
        </w:rPr>
        <w:t xml:space="preserve">☐  </w:t>
      </w:r>
      <w:r>
        <w:rPr>
          <w:rFonts w:ascii="Calibri" w:hAnsi="Calibri"/>
          <w:b w:val="0"/>
          <w:i w:val="0"/>
          <w:color w:val="1C1C1C"/>
          <w:sz w:val="21"/>
        </w:rPr>
        <w:t>At any point in this procedure, ask Exobot for clarification or assistance if a step is unclear or you need help - for example with export classification, a vendor's due diligence status, technical-data markings, or assembling the release package.</w:t>
      </w:r>
    </w:p>
    <w:p>
      <w:pPr>
        <w:spacing w:after="60"/>
        <w:ind w:left="360"/>
      </w:pPr>
      <w:r>
        <w:rPr>
          <w:rFonts w:ascii="Calibri" w:hAnsi="Calibri"/>
          <w:b w:val="0"/>
          <w:i w:val="0"/>
          <w:color w:val="0B2A4A"/>
          <w:sz w:val="24"/>
        </w:rPr>
        <w:t xml:space="preserve">☐  </w:t>
      </w:r>
      <w:r>
        <w:rPr>
          <w:rFonts w:ascii="Calibri" w:hAnsi="Calibri"/>
          <w:b w:val="0"/>
          <w:i w:val="0"/>
          <w:color w:val="1C1C1C"/>
          <w:sz w:val="21"/>
        </w:rPr>
        <w:t>Once all items in this procedure are completed, escalate to your manager for additional support and final review.</w:t>
      </w:r>
    </w:p>
    <w:p>
      <w:pPr>
        <w:spacing w:before="140" w:after="60"/>
      </w:pPr>
      <w:r>
        <w:rPr>
          <w:rFonts w:ascii="Calibri" w:hAnsi="Calibri"/>
          <w:b/>
          <w:i w:val="0"/>
          <w:color w:val="0B2A4A"/>
          <w:sz w:val="22"/>
        </w:rPr>
        <w:t>Completion</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completion of the activity in the Exos Work Management System (Mission Control).</w:t>
      </w:r>
    </w:p>
    <w:p>
      <w:pPr>
        <w:spacing w:before="240"/>
      </w:pPr>
      <w:r>
        <w:rPr>
          <w:rFonts w:ascii="Calibri" w:hAnsi="Calibri"/>
          <w:b w:val="0"/>
          <w:i/>
          <w:color w:val="606A78"/>
          <w:sz w:val="17"/>
        </w:rPr>
        <w:t>Owner: Empowered Official / Exo   ·   Reference documents: ITAR, 22 CFR Parts 120-130 (incl. USML 22 CFR 121, DDTC registration 22 CFR 122, recordkeeping 22 CFR 122.5, debarred parties 22 CFR 127.7, U.S. person 22 CFR 120.62); EAR, 15 CFR Parts 730-774 (CCL/ECCN, Denied Persons/Entity List, deemed exports); OFAC SDN and SAM exclusions; Exos Supplier Due Diligence engine and Mission Control supplier DD registry; Exos export-screen / controlled-artifact release path (itar_ear_screen)</w:t>
      </w:r>
    </w:p>
    <w:sectPr w:rsidR="00FC693F" w:rsidRPr="0006063C" w:rsidSect="00034616">
      <w:headerReference w:type="default" r:id="rId9"/>
      <w:footerReference w:type="default" r:id="rId10"/>
      <w:pgSz w:w="12240" w:h="15840"/>
      <w:pgMar w:top="1728" w:right="1296" w:bottom="1440" w:left="1296" w:header="576"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20"/>
      <w:jc w:val="right"/>
    </w:pPr>
    <w:r>
      <w:drawing>
        <wp:inline xmlns:a="http://schemas.openxmlformats.org/drawingml/2006/main" xmlns:pic="http://schemas.openxmlformats.org/drawingml/2006/picture">
          <wp:extent cx="3017520" cy="495448"/>
          <wp:docPr id="1" name="Picture 1"/>
          <wp:cNvGraphicFramePr>
            <a:graphicFrameLocks noChangeAspect="1"/>
          </wp:cNvGraphicFramePr>
          <a:graphic>
            <a:graphicData uri="http://schemas.openxmlformats.org/drawingml/2006/picture">
              <pic:pic>
                <pic:nvPicPr>
                  <pic:cNvPr id="0" name="exos-letterhead-footer.png"/>
                  <pic:cNvPicPr/>
                </pic:nvPicPr>
                <pic:blipFill>
                  <a:blip r:embed="rId1"/>
                  <a:stretch>
                    <a:fillRect/>
                  </a:stretch>
                </pic:blipFill>
                <pic:spPr>
                  <a:xfrm>
                    <a:off x="0" y="0"/>
                    <a:ext cx="3017520" cy="495448"/>
                  </a:xfrm>
                  <a:prstGeom prst="rect"/>
                </pic:spPr>
              </pic:pic>
            </a:graphicData>
          </a:graphic>
        </wp:inline>
      </w:drawing>
    </w:r>
  </w:p>
  <w:p>
    <w:pPr>
      <w:spacing w:after="0"/>
      <w:jc w:val="left"/>
    </w:pPr>
    <w:r>
      <w:rPr>
        <w:rFonts w:ascii="Calibri" w:hAnsi="Calibri"/>
        <w:b w:val="0"/>
        <w:i w:val="0"/>
        <w:color w:val="606A78"/>
        <w:sz w:val="15"/>
      </w:rPr>
      <w:t>EXOS-EXP-001-0 Rev 0  ·  Controlled copy — valid for today's date only  ·  Process &amp; Procedure Control per EXOS-US-QMS-001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drawing>
        <wp:inline xmlns:a="http://schemas.openxmlformats.org/drawingml/2006/main" xmlns:pic="http://schemas.openxmlformats.org/drawingml/2006/picture">
          <wp:extent cx="3017520" cy="623046"/>
          <wp:docPr id="1" name="Picture 1"/>
          <wp:cNvGraphicFramePr>
            <a:graphicFrameLocks noChangeAspect="1"/>
          </wp:cNvGraphicFramePr>
          <a:graphic>
            <a:graphicData uri="http://schemas.openxmlformats.org/drawingml/2006/picture">
              <pic:pic>
                <pic:nvPicPr>
                  <pic:cNvPr id="0" name="exos-letterhead-header.png"/>
                  <pic:cNvPicPr/>
                </pic:nvPicPr>
                <pic:blipFill>
                  <a:blip r:embed="rId1"/>
                  <a:stretch>
                    <a:fillRect/>
                  </a:stretch>
                </pic:blipFill>
                <pic:spPr>
                  <a:xfrm>
                    <a:off x="0" y="0"/>
                    <a:ext cx="3017520" cy="62304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C1C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